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5421" w14:textId="4B712834" w:rsidR="00E82860" w:rsidRDefault="00E82860" w:rsidP="00E82860">
      <w:pPr>
        <w:jc w:val="right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Warszawa, </w:t>
      </w:r>
      <w:r w:rsidR="00F957A4">
        <w:rPr>
          <w:rFonts w:asciiTheme="majorHAnsi" w:hAnsiTheme="majorHAnsi" w:cstheme="majorHAnsi"/>
          <w:color w:val="002060"/>
        </w:rPr>
        <w:t>25</w:t>
      </w:r>
      <w:r w:rsidR="004C73C6">
        <w:rPr>
          <w:rFonts w:asciiTheme="majorHAnsi" w:hAnsiTheme="majorHAnsi" w:cstheme="majorHAnsi"/>
          <w:color w:val="002060"/>
        </w:rPr>
        <w:t xml:space="preserve"> </w:t>
      </w:r>
      <w:r w:rsidR="00F957A4">
        <w:rPr>
          <w:rFonts w:asciiTheme="majorHAnsi" w:hAnsiTheme="majorHAnsi" w:cstheme="majorHAnsi"/>
          <w:color w:val="002060"/>
        </w:rPr>
        <w:t>czerwca</w:t>
      </w:r>
      <w:r>
        <w:rPr>
          <w:rFonts w:asciiTheme="majorHAnsi" w:hAnsiTheme="majorHAnsi" w:cstheme="majorHAnsi"/>
          <w:color w:val="002060"/>
        </w:rPr>
        <w:t xml:space="preserve"> 202</w:t>
      </w:r>
      <w:r w:rsidR="00805FA8">
        <w:rPr>
          <w:rFonts w:asciiTheme="majorHAnsi" w:hAnsiTheme="majorHAnsi" w:cstheme="majorHAnsi"/>
          <w:color w:val="002060"/>
        </w:rPr>
        <w:t>5</w:t>
      </w:r>
      <w:r>
        <w:rPr>
          <w:rFonts w:asciiTheme="majorHAnsi" w:hAnsiTheme="majorHAnsi" w:cstheme="majorHAnsi"/>
          <w:color w:val="002060"/>
        </w:rPr>
        <w:t xml:space="preserve"> r.</w:t>
      </w:r>
    </w:p>
    <w:p w14:paraId="6933EA47" w14:textId="77777777" w:rsidR="008B32B4" w:rsidRDefault="008B32B4" w:rsidP="005E0075">
      <w:pPr>
        <w:jc w:val="center"/>
        <w:rPr>
          <w:rFonts w:asciiTheme="majorHAnsi" w:hAnsiTheme="majorHAnsi" w:cstheme="majorHAnsi"/>
          <w:b/>
          <w:bCs/>
          <w:color w:val="002060"/>
        </w:rPr>
      </w:pPr>
    </w:p>
    <w:p w14:paraId="73BA5045" w14:textId="77777777" w:rsidR="008B32B4" w:rsidRDefault="006D08F2" w:rsidP="005E0075">
      <w:pPr>
        <w:jc w:val="center"/>
        <w:rPr>
          <w:rFonts w:asciiTheme="majorHAnsi" w:hAnsiTheme="majorHAnsi" w:cstheme="majorHAnsi"/>
          <w:b/>
          <w:bCs/>
          <w:color w:val="002060"/>
        </w:rPr>
      </w:pPr>
      <w:r>
        <w:rPr>
          <w:rFonts w:asciiTheme="majorHAnsi" w:hAnsiTheme="majorHAnsi" w:cstheme="majorHAnsi"/>
          <w:b/>
          <w:bCs/>
          <w:color w:val="002060"/>
        </w:rPr>
        <w:br/>
      </w:r>
      <w:r w:rsidR="00826E63">
        <w:rPr>
          <w:rFonts w:asciiTheme="majorHAnsi" w:hAnsiTheme="majorHAnsi" w:cstheme="majorHAnsi"/>
          <w:b/>
          <w:bCs/>
          <w:color w:val="002060"/>
        </w:rPr>
        <w:br/>
      </w:r>
      <w:r w:rsidR="00F957A4">
        <w:rPr>
          <w:rFonts w:asciiTheme="majorHAnsi" w:hAnsiTheme="majorHAnsi" w:cstheme="majorHAnsi"/>
          <w:b/>
          <w:bCs/>
          <w:color w:val="002060"/>
        </w:rPr>
        <w:t>WKŁAD</w:t>
      </w:r>
      <w:r w:rsidR="003C7330">
        <w:rPr>
          <w:rFonts w:asciiTheme="majorHAnsi" w:hAnsiTheme="majorHAnsi" w:cstheme="majorHAnsi"/>
          <w:b/>
          <w:bCs/>
          <w:color w:val="002060"/>
        </w:rPr>
        <w:br/>
        <w:t>Polskiego Stowarzyszenia Przemysłu Kosmetycznego i Detergentowego</w:t>
      </w:r>
      <w:r w:rsidR="003C7330">
        <w:rPr>
          <w:rFonts w:asciiTheme="majorHAnsi" w:hAnsiTheme="majorHAnsi" w:cstheme="majorHAnsi"/>
          <w:b/>
          <w:bCs/>
          <w:color w:val="002060"/>
        </w:rPr>
        <w:br/>
      </w:r>
      <w:r w:rsidR="005E0075">
        <w:rPr>
          <w:rFonts w:asciiTheme="majorHAnsi" w:hAnsiTheme="majorHAnsi" w:cstheme="majorHAnsi"/>
          <w:b/>
          <w:bCs/>
          <w:color w:val="002060"/>
        </w:rPr>
        <w:t>do</w:t>
      </w:r>
      <w:r w:rsidR="00F957A4">
        <w:rPr>
          <w:rFonts w:asciiTheme="majorHAnsi" w:hAnsiTheme="majorHAnsi" w:cstheme="majorHAnsi"/>
          <w:b/>
          <w:bCs/>
          <w:color w:val="002060"/>
        </w:rPr>
        <w:t xml:space="preserve"> Stanowiska Rządu RP </w:t>
      </w:r>
      <w:r w:rsidR="00E63D1E">
        <w:rPr>
          <w:rFonts w:asciiTheme="majorHAnsi" w:hAnsiTheme="majorHAnsi" w:cstheme="majorHAnsi"/>
          <w:b/>
          <w:bCs/>
          <w:color w:val="002060"/>
        </w:rPr>
        <w:t xml:space="preserve">wobec </w:t>
      </w:r>
      <w:r w:rsidR="00E63D1E">
        <w:rPr>
          <w:rFonts w:asciiTheme="majorHAnsi" w:hAnsiTheme="majorHAnsi" w:cstheme="majorHAnsi"/>
          <w:b/>
          <w:bCs/>
          <w:color w:val="002060"/>
        </w:rPr>
        <w:br/>
      </w:r>
      <w:r w:rsidR="00E63D1E" w:rsidRPr="00E63D1E">
        <w:rPr>
          <w:rFonts w:asciiTheme="majorHAnsi" w:hAnsiTheme="majorHAnsi" w:cstheme="majorHAnsi"/>
          <w:b/>
          <w:bCs/>
          <w:color w:val="002060"/>
        </w:rPr>
        <w:t>Komunikat</w:t>
      </w:r>
      <w:r w:rsidR="00E63D1E">
        <w:rPr>
          <w:rFonts w:asciiTheme="majorHAnsi" w:hAnsiTheme="majorHAnsi" w:cstheme="majorHAnsi"/>
          <w:b/>
          <w:bCs/>
          <w:color w:val="002060"/>
        </w:rPr>
        <w:t>u</w:t>
      </w:r>
      <w:r w:rsidR="00E63D1E" w:rsidRPr="00E63D1E">
        <w:rPr>
          <w:rFonts w:asciiTheme="majorHAnsi" w:hAnsiTheme="majorHAnsi" w:cstheme="majorHAnsi"/>
          <w:b/>
          <w:bCs/>
          <w:color w:val="002060"/>
        </w:rPr>
        <w:t xml:space="preserve"> Komisji Plan prac w zakresie ekoprojektu dla zrównoważonych produktów </w:t>
      </w:r>
      <w:r w:rsidR="00E63D1E">
        <w:rPr>
          <w:rFonts w:asciiTheme="majorHAnsi" w:hAnsiTheme="majorHAnsi" w:cstheme="majorHAnsi"/>
          <w:b/>
          <w:bCs/>
          <w:color w:val="002060"/>
        </w:rPr>
        <w:br/>
      </w:r>
      <w:r w:rsidR="00E63D1E" w:rsidRPr="00E63D1E">
        <w:rPr>
          <w:rFonts w:asciiTheme="majorHAnsi" w:hAnsiTheme="majorHAnsi" w:cstheme="majorHAnsi"/>
          <w:b/>
          <w:bCs/>
          <w:color w:val="002060"/>
        </w:rPr>
        <w:t>i etykietowania energetycznego na lata 2025–2030</w:t>
      </w:r>
      <w:r w:rsidR="004C73C6">
        <w:rPr>
          <w:rFonts w:asciiTheme="majorHAnsi" w:hAnsiTheme="majorHAnsi" w:cstheme="majorHAnsi"/>
          <w:b/>
          <w:bCs/>
          <w:color w:val="002060"/>
        </w:rPr>
        <w:br/>
      </w:r>
    </w:p>
    <w:p w14:paraId="564C747E" w14:textId="07AF8628" w:rsidR="00493B26" w:rsidRDefault="007F35BC" w:rsidP="005E0075">
      <w:pPr>
        <w:jc w:val="center"/>
        <w:rPr>
          <w:rFonts w:asciiTheme="majorHAnsi" w:hAnsiTheme="majorHAnsi" w:cstheme="majorHAnsi"/>
          <w:b/>
          <w:bCs/>
          <w:color w:val="002060"/>
        </w:rPr>
      </w:pPr>
      <w:r>
        <w:rPr>
          <w:rFonts w:asciiTheme="majorHAnsi" w:hAnsiTheme="majorHAnsi" w:cstheme="majorHAnsi"/>
          <w:b/>
          <w:bCs/>
          <w:color w:val="002060"/>
        </w:rPr>
        <w:br/>
      </w:r>
    </w:p>
    <w:p w14:paraId="0C5FC3DD" w14:textId="25696147" w:rsidR="005C5CDA" w:rsidRDefault="005E0075" w:rsidP="005373E4">
      <w:pPr>
        <w:jc w:val="both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Polskie Stowarzyszenie Przemysłu Kosmetycznego i Detergentowego (PSPKD) </w:t>
      </w:r>
      <w:r w:rsidRPr="005E0075">
        <w:rPr>
          <w:rFonts w:asciiTheme="majorHAnsi" w:hAnsiTheme="majorHAnsi" w:cstheme="majorHAnsi"/>
          <w:color w:val="002060"/>
        </w:rPr>
        <w:t xml:space="preserve">jest organizacją reprezentującą </w:t>
      </w:r>
      <w:r w:rsidR="00D61B2C">
        <w:rPr>
          <w:rFonts w:asciiTheme="majorHAnsi" w:hAnsiTheme="majorHAnsi" w:cstheme="majorHAnsi"/>
          <w:color w:val="002060"/>
        </w:rPr>
        <w:t xml:space="preserve">ponad 140 </w:t>
      </w:r>
      <w:r w:rsidR="000B0483">
        <w:rPr>
          <w:rFonts w:asciiTheme="majorHAnsi" w:hAnsiTheme="majorHAnsi" w:cstheme="majorHAnsi"/>
          <w:color w:val="002060"/>
        </w:rPr>
        <w:t>podmiot</w:t>
      </w:r>
      <w:r w:rsidR="00D61B2C">
        <w:rPr>
          <w:rFonts w:asciiTheme="majorHAnsi" w:hAnsiTheme="majorHAnsi" w:cstheme="majorHAnsi"/>
          <w:color w:val="002060"/>
        </w:rPr>
        <w:t>ów,</w:t>
      </w:r>
      <w:r w:rsidRPr="005E0075">
        <w:rPr>
          <w:rFonts w:asciiTheme="majorHAnsi" w:hAnsiTheme="majorHAnsi" w:cstheme="majorHAnsi"/>
          <w:color w:val="002060"/>
        </w:rPr>
        <w:t xml:space="preserve"> funkcjonując</w:t>
      </w:r>
      <w:r w:rsidR="00D61B2C">
        <w:rPr>
          <w:rFonts w:asciiTheme="majorHAnsi" w:hAnsiTheme="majorHAnsi" w:cstheme="majorHAnsi"/>
          <w:color w:val="002060"/>
        </w:rPr>
        <w:t>ych</w:t>
      </w:r>
      <w:r w:rsidRPr="005E0075">
        <w:rPr>
          <w:rFonts w:asciiTheme="majorHAnsi" w:hAnsiTheme="majorHAnsi" w:cstheme="majorHAnsi"/>
          <w:color w:val="002060"/>
        </w:rPr>
        <w:t xml:space="preserve"> w obszarze kosmetyków, detergentów oraz produktów biobójczych</w:t>
      </w:r>
      <w:r>
        <w:rPr>
          <w:rFonts w:asciiTheme="majorHAnsi" w:hAnsiTheme="majorHAnsi" w:cstheme="majorHAnsi"/>
          <w:color w:val="002060"/>
        </w:rPr>
        <w:t>, dla których opracowywane propozycje prawne</w:t>
      </w:r>
      <w:r w:rsidR="00A61C68">
        <w:rPr>
          <w:rFonts w:asciiTheme="majorHAnsi" w:hAnsiTheme="majorHAnsi" w:cstheme="majorHAnsi"/>
          <w:color w:val="002060"/>
        </w:rPr>
        <w:t xml:space="preserve"> w zakresie ekoprojektowania</w:t>
      </w:r>
      <w:r>
        <w:rPr>
          <w:rFonts w:asciiTheme="majorHAnsi" w:hAnsiTheme="majorHAnsi" w:cstheme="majorHAnsi"/>
          <w:color w:val="002060"/>
        </w:rPr>
        <w:t xml:space="preserve"> mają</w:t>
      </w:r>
      <w:r w:rsidR="005373E4">
        <w:rPr>
          <w:rFonts w:asciiTheme="majorHAnsi" w:hAnsiTheme="majorHAnsi" w:cstheme="majorHAnsi"/>
          <w:color w:val="002060"/>
        </w:rPr>
        <w:t xml:space="preserve"> szczególnie</w:t>
      </w:r>
      <w:r>
        <w:rPr>
          <w:rFonts w:asciiTheme="majorHAnsi" w:hAnsiTheme="majorHAnsi" w:cstheme="majorHAnsi"/>
          <w:color w:val="002060"/>
        </w:rPr>
        <w:t xml:space="preserve"> istotne znaczenie. </w:t>
      </w:r>
      <w:r w:rsidR="00A61C68">
        <w:rPr>
          <w:rFonts w:asciiTheme="majorHAnsi" w:hAnsiTheme="majorHAnsi" w:cstheme="majorHAnsi"/>
          <w:color w:val="002060"/>
        </w:rPr>
        <w:t>PSPKD w pełni popiera cele rozporządzenia</w:t>
      </w:r>
      <w:r w:rsidR="007B4F13">
        <w:rPr>
          <w:rFonts w:asciiTheme="majorHAnsi" w:hAnsiTheme="majorHAnsi" w:cstheme="majorHAnsi"/>
          <w:color w:val="002060"/>
        </w:rPr>
        <w:t xml:space="preserve"> 2024/1781 </w:t>
      </w:r>
      <w:r w:rsidR="00D61B2C">
        <w:rPr>
          <w:rFonts w:asciiTheme="majorHAnsi" w:hAnsiTheme="majorHAnsi" w:cstheme="majorHAnsi"/>
          <w:color w:val="002060"/>
        </w:rPr>
        <w:br/>
      </w:r>
      <w:r w:rsidR="007B4F13">
        <w:rPr>
          <w:rFonts w:asciiTheme="majorHAnsi" w:hAnsiTheme="majorHAnsi" w:cstheme="majorHAnsi"/>
          <w:color w:val="002060"/>
        </w:rPr>
        <w:t xml:space="preserve">ws. </w:t>
      </w:r>
      <w:r w:rsidR="00B0412F" w:rsidRPr="00B0412F">
        <w:rPr>
          <w:rFonts w:asciiTheme="majorHAnsi" w:hAnsiTheme="majorHAnsi" w:cstheme="majorHAnsi"/>
          <w:color w:val="002060"/>
        </w:rPr>
        <w:t>ustanowienia ram ustalania wymogów ekoprojektu w odniesieniu do zrównoważonych produktów</w:t>
      </w:r>
      <w:r w:rsidR="00D61B2C">
        <w:rPr>
          <w:rFonts w:asciiTheme="majorHAnsi" w:hAnsiTheme="majorHAnsi" w:cstheme="majorHAnsi"/>
          <w:color w:val="002060"/>
        </w:rPr>
        <w:t xml:space="preserve"> (ESPR)</w:t>
      </w:r>
      <w:r w:rsidR="00A61C68">
        <w:rPr>
          <w:rFonts w:asciiTheme="majorHAnsi" w:hAnsiTheme="majorHAnsi" w:cstheme="majorHAnsi"/>
          <w:color w:val="002060"/>
        </w:rPr>
        <w:t xml:space="preserve">, w tym stworzenie zharmonizowanych ram </w:t>
      </w:r>
      <w:r w:rsidR="007606D4">
        <w:rPr>
          <w:rFonts w:asciiTheme="majorHAnsi" w:hAnsiTheme="majorHAnsi" w:cstheme="majorHAnsi"/>
          <w:color w:val="002060"/>
        </w:rPr>
        <w:t xml:space="preserve">w zakresie cyfrowego paszportu produktu oraz odpowiedzialnego zarządzania niesprzedanymi produktami konsumenckimi. </w:t>
      </w:r>
    </w:p>
    <w:p w14:paraId="6A248ADB" w14:textId="77777777" w:rsidR="00D4500A" w:rsidRDefault="00D4500A" w:rsidP="005373E4">
      <w:pPr>
        <w:jc w:val="both"/>
        <w:rPr>
          <w:rFonts w:asciiTheme="majorHAnsi" w:hAnsiTheme="majorHAnsi" w:cstheme="majorHAnsi"/>
          <w:color w:val="002060"/>
        </w:rPr>
      </w:pPr>
    </w:p>
    <w:p w14:paraId="0BC0F009" w14:textId="3FD94911" w:rsidR="00D4500A" w:rsidRDefault="00D4500A" w:rsidP="00986B4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olor w:val="002060"/>
        </w:rPr>
      </w:pPr>
      <w:r>
        <w:rPr>
          <w:rFonts w:asciiTheme="majorHAnsi" w:hAnsiTheme="majorHAnsi" w:cstheme="majorHAnsi"/>
          <w:b/>
          <w:bCs/>
          <w:color w:val="002060"/>
        </w:rPr>
        <w:t>P</w:t>
      </w:r>
      <w:r w:rsidR="00745575">
        <w:rPr>
          <w:rFonts w:asciiTheme="majorHAnsi" w:hAnsiTheme="majorHAnsi" w:cstheme="majorHAnsi"/>
          <w:b/>
          <w:bCs/>
          <w:color w:val="002060"/>
        </w:rPr>
        <w:t>rodukty przewidziane do objęcia priorytetem w p</w:t>
      </w:r>
      <w:r>
        <w:rPr>
          <w:rFonts w:asciiTheme="majorHAnsi" w:hAnsiTheme="majorHAnsi" w:cstheme="majorHAnsi"/>
          <w:b/>
          <w:bCs/>
          <w:color w:val="002060"/>
        </w:rPr>
        <w:t>lan</w:t>
      </w:r>
      <w:r w:rsidR="00745575">
        <w:rPr>
          <w:rFonts w:asciiTheme="majorHAnsi" w:hAnsiTheme="majorHAnsi" w:cstheme="majorHAnsi"/>
          <w:b/>
          <w:bCs/>
          <w:color w:val="002060"/>
        </w:rPr>
        <w:t>ie prac</w:t>
      </w:r>
      <w:r>
        <w:rPr>
          <w:rFonts w:asciiTheme="majorHAnsi" w:hAnsiTheme="majorHAnsi" w:cstheme="majorHAnsi"/>
          <w:b/>
          <w:bCs/>
          <w:color w:val="002060"/>
        </w:rPr>
        <w:t xml:space="preserve"> </w:t>
      </w:r>
      <w:r w:rsidR="00CA2BEF">
        <w:rPr>
          <w:rFonts w:asciiTheme="majorHAnsi" w:hAnsiTheme="majorHAnsi" w:cstheme="majorHAnsi"/>
          <w:b/>
          <w:bCs/>
          <w:color w:val="002060"/>
        </w:rPr>
        <w:t>na lata 2025-2030</w:t>
      </w:r>
    </w:p>
    <w:p w14:paraId="3BA494A8" w14:textId="47939F55" w:rsidR="00BE2F0C" w:rsidRDefault="00BE2F0C" w:rsidP="00CA2BEF">
      <w:pPr>
        <w:jc w:val="both"/>
        <w:rPr>
          <w:rFonts w:asciiTheme="majorHAnsi" w:hAnsiTheme="majorHAnsi" w:cstheme="majorHAnsi"/>
          <w:b/>
          <w:bCs/>
          <w:color w:val="002060"/>
        </w:rPr>
      </w:pPr>
      <w:r w:rsidRPr="003519D5">
        <w:rPr>
          <w:rFonts w:asciiTheme="majorHAnsi" w:hAnsiTheme="majorHAnsi" w:cstheme="majorHAnsi"/>
          <w:color w:val="002060"/>
        </w:rPr>
        <w:t xml:space="preserve">PSPKD w pełni popiera </w:t>
      </w:r>
      <w:r w:rsidR="00D61B2C">
        <w:rPr>
          <w:rFonts w:asciiTheme="majorHAnsi" w:hAnsiTheme="majorHAnsi" w:cstheme="majorHAnsi"/>
          <w:color w:val="002060"/>
        </w:rPr>
        <w:t>pominięcie</w:t>
      </w:r>
      <w:r w:rsidR="00DB3174" w:rsidRPr="003519D5">
        <w:rPr>
          <w:rFonts w:asciiTheme="majorHAnsi" w:hAnsiTheme="majorHAnsi" w:cstheme="majorHAnsi"/>
          <w:color w:val="002060"/>
        </w:rPr>
        <w:t xml:space="preserve"> detergentów </w:t>
      </w:r>
      <w:r w:rsidR="00D61B2C">
        <w:rPr>
          <w:rFonts w:asciiTheme="majorHAnsi" w:hAnsiTheme="majorHAnsi" w:cstheme="majorHAnsi"/>
          <w:color w:val="002060"/>
        </w:rPr>
        <w:t>w</w:t>
      </w:r>
      <w:r w:rsidR="00DB3174" w:rsidRPr="003519D5">
        <w:rPr>
          <w:rFonts w:asciiTheme="majorHAnsi" w:hAnsiTheme="majorHAnsi" w:cstheme="majorHAnsi"/>
          <w:color w:val="002060"/>
        </w:rPr>
        <w:t xml:space="preserve">śród </w:t>
      </w:r>
      <w:r w:rsidR="007577AF" w:rsidRPr="003519D5">
        <w:rPr>
          <w:rFonts w:asciiTheme="majorHAnsi" w:hAnsiTheme="majorHAnsi" w:cstheme="majorHAnsi"/>
          <w:color w:val="002060"/>
        </w:rPr>
        <w:t>grup produktów uwzględnionych w pierwszym planie prac w zakresie ekoprojektu na lata 2025 – 2030</w:t>
      </w:r>
      <w:r w:rsidR="00550FAB">
        <w:rPr>
          <w:rFonts w:asciiTheme="majorHAnsi" w:hAnsiTheme="majorHAnsi" w:cstheme="majorHAnsi"/>
          <w:color w:val="002060"/>
        </w:rPr>
        <w:t>, pomimo ich wskazania w</w:t>
      </w:r>
      <w:r w:rsidR="00205484">
        <w:rPr>
          <w:rFonts w:asciiTheme="majorHAnsi" w:hAnsiTheme="majorHAnsi" w:cstheme="majorHAnsi"/>
          <w:color w:val="002060"/>
        </w:rPr>
        <w:t>śród priorytet</w:t>
      </w:r>
      <w:r w:rsidR="00D61B2C">
        <w:rPr>
          <w:rFonts w:asciiTheme="majorHAnsi" w:hAnsiTheme="majorHAnsi" w:cstheme="majorHAnsi"/>
          <w:color w:val="002060"/>
        </w:rPr>
        <w:t>owych sektorów</w:t>
      </w:r>
      <w:r w:rsidR="00205484">
        <w:rPr>
          <w:rFonts w:asciiTheme="majorHAnsi" w:hAnsiTheme="majorHAnsi" w:cstheme="majorHAnsi"/>
          <w:color w:val="002060"/>
        </w:rPr>
        <w:t xml:space="preserve"> określonych w ramach Art. 18 ESPR</w:t>
      </w:r>
      <w:r w:rsidR="007577AF" w:rsidRPr="003519D5">
        <w:rPr>
          <w:rFonts w:asciiTheme="majorHAnsi" w:hAnsiTheme="majorHAnsi" w:cstheme="majorHAnsi"/>
          <w:color w:val="002060"/>
        </w:rPr>
        <w:t xml:space="preserve">. </w:t>
      </w:r>
      <w:r w:rsidR="00105AE8" w:rsidRPr="003519D5">
        <w:rPr>
          <w:rFonts w:asciiTheme="majorHAnsi" w:hAnsiTheme="majorHAnsi" w:cstheme="majorHAnsi"/>
          <w:color w:val="002060"/>
        </w:rPr>
        <w:t>Sektor detergentowy</w:t>
      </w:r>
      <w:r w:rsidR="00F611F7" w:rsidRPr="003519D5">
        <w:rPr>
          <w:rFonts w:asciiTheme="majorHAnsi" w:hAnsiTheme="majorHAnsi" w:cstheme="majorHAnsi"/>
          <w:color w:val="002060"/>
        </w:rPr>
        <w:t xml:space="preserve"> i tak</w:t>
      </w:r>
      <w:r w:rsidR="00105AE8" w:rsidRPr="003519D5">
        <w:rPr>
          <w:rFonts w:asciiTheme="majorHAnsi" w:hAnsiTheme="majorHAnsi" w:cstheme="majorHAnsi"/>
          <w:color w:val="002060"/>
        </w:rPr>
        <w:t xml:space="preserve"> czekają obecnie duże zmiany wynikające z trwającej rewizji rozporządzenia detergentowego, najważniejszego </w:t>
      </w:r>
      <w:r w:rsidR="00F611F7" w:rsidRPr="003519D5">
        <w:rPr>
          <w:rFonts w:asciiTheme="majorHAnsi" w:hAnsiTheme="majorHAnsi" w:cstheme="majorHAnsi"/>
          <w:color w:val="002060"/>
        </w:rPr>
        <w:t xml:space="preserve">dla tego sektora aktu prawnego, w którego nowej wersji uwzględnione zostały również zapisy dotyczące </w:t>
      </w:r>
      <w:r w:rsidR="00205484">
        <w:rPr>
          <w:rFonts w:asciiTheme="majorHAnsi" w:hAnsiTheme="majorHAnsi" w:cstheme="majorHAnsi"/>
          <w:color w:val="002060"/>
        </w:rPr>
        <w:t xml:space="preserve">m.in. </w:t>
      </w:r>
      <w:r w:rsidR="00F611F7" w:rsidRPr="003519D5">
        <w:rPr>
          <w:rFonts w:asciiTheme="majorHAnsi" w:hAnsiTheme="majorHAnsi" w:cstheme="majorHAnsi"/>
          <w:color w:val="002060"/>
        </w:rPr>
        <w:t xml:space="preserve">cyfrowego paszportu produktu. </w:t>
      </w:r>
      <w:r w:rsidR="00F543EC" w:rsidRPr="003519D5">
        <w:rPr>
          <w:rFonts w:asciiTheme="majorHAnsi" w:hAnsiTheme="majorHAnsi" w:cstheme="majorHAnsi"/>
          <w:color w:val="002060"/>
        </w:rPr>
        <w:t xml:space="preserve">Jednoczesne przygotowanie </w:t>
      </w:r>
      <w:r w:rsidR="00205484">
        <w:rPr>
          <w:rFonts w:asciiTheme="majorHAnsi" w:hAnsiTheme="majorHAnsi" w:cstheme="majorHAnsi"/>
          <w:color w:val="002060"/>
        </w:rPr>
        <w:t xml:space="preserve">sektorowego </w:t>
      </w:r>
      <w:r w:rsidR="00F543EC" w:rsidRPr="003519D5">
        <w:rPr>
          <w:rFonts w:asciiTheme="majorHAnsi" w:hAnsiTheme="majorHAnsi" w:cstheme="majorHAnsi"/>
          <w:color w:val="002060"/>
        </w:rPr>
        <w:t xml:space="preserve">aktu delegowanego w ramach ESPR byłoby inicjatywą przedwczesną i niosącą ryzyko duplikacji wymogów prawnych dla tego sektora. Ponadto, zgodnie z </w:t>
      </w:r>
      <w:r w:rsidR="007A2139">
        <w:rPr>
          <w:rFonts w:asciiTheme="majorHAnsi" w:hAnsiTheme="majorHAnsi" w:cstheme="majorHAnsi"/>
          <w:color w:val="002060"/>
        </w:rPr>
        <w:t xml:space="preserve">opublikowanym w listopadzie 2024 r. </w:t>
      </w:r>
      <w:r w:rsidR="00301968" w:rsidRPr="003519D5">
        <w:rPr>
          <w:rFonts w:asciiTheme="majorHAnsi" w:hAnsiTheme="majorHAnsi" w:cstheme="majorHAnsi"/>
          <w:color w:val="002060"/>
        </w:rPr>
        <w:t xml:space="preserve">raportem </w:t>
      </w:r>
      <w:r w:rsidR="002617F5" w:rsidRPr="003519D5">
        <w:rPr>
          <w:rFonts w:asciiTheme="majorHAnsi" w:hAnsiTheme="majorHAnsi" w:cstheme="majorHAnsi"/>
          <w:color w:val="002060"/>
        </w:rPr>
        <w:t>Wspólnego Centrum Badawczego (JRC)</w:t>
      </w:r>
      <w:r w:rsidR="007A2139">
        <w:rPr>
          <w:rStyle w:val="Odwoanieprzypisudolnego"/>
          <w:rFonts w:asciiTheme="majorHAnsi" w:hAnsiTheme="majorHAnsi" w:cstheme="majorHAnsi"/>
          <w:color w:val="002060"/>
        </w:rPr>
        <w:footnoteReference w:id="1"/>
      </w:r>
      <w:r w:rsidR="002617F5" w:rsidRPr="003519D5">
        <w:rPr>
          <w:rFonts w:asciiTheme="majorHAnsi" w:hAnsiTheme="majorHAnsi" w:cstheme="majorHAnsi"/>
          <w:color w:val="002060"/>
        </w:rPr>
        <w:t xml:space="preserve">, detergenty wykazują niski potencjał poprawy, w związku z czym zasadne jest przygotowanie </w:t>
      </w:r>
      <w:r w:rsidR="006E2676">
        <w:rPr>
          <w:rFonts w:asciiTheme="majorHAnsi" w:hAnsiTheme="majorHAnsi" w:cstheme="majorHAnsi"/>
          <w:color w:val="002060"/>
        </w:rPr>
        <w:br/>
      </w:r>
      <w:r w:rsidR="002617F5" w:rsidRPr="003519D5">
        <w:rPr>
          <w:rFonts w:asciiTheme="majorHAnsi" w:hAnsiTheme="majorHAnsi" w:cstheme="majorHAnsi"/>
          <w:color w:val="002060"/>
        </w:rPr>
        <w:t xml:space="preserve">w pierwszej kolejności </w:t>
      </w:r>
      <w:r w:rsidR="003519D5" w:rsidRPr="003519D5">
        <w:rPr>
          <w:rFonts w:asciiTheme="majorHAnsi" w:hAnsiTheme="majorHAnsi" w:cstheme="majorHAnsi"/>
          <w:color w:val="002060"/>
        </w:rPr>
        <w:t xml:space="preserve">aktów delegowanych dla sektorów o wyższym potencjale poprawy. </w:t>
      </w:r>
    </w:p>
    <w:p w14:paraId="60052BAC" w14:textId="77777777" w:rsidR="00BE2F0C" w:rsidRPr="00CA2BEF" w:rsidRDefault="00BE2F0C" w:rsidP="00CA2BEF">
      <w:pPr>
        <w:jc w:val="both"/>
        <w:rPr>
          <w:rFonts w:asciiTheme="majorHAnsi" w:hAnsiTheme="majorHAnsi" w:cstheme="majorHAnsi"/>
          <w:b/>
          <w:bCs/>
          <w:color w:val="002060"/>
        </w:rPr>
      </w:pPr>
    </w:p>
    <w:p w14:paraId="790C7542" w14:textId="77777777" w:rsidR="00336CCF" w:rsidRDefault="00336CCF">
      <w:pPr>
        <w:rPr>
          <w:rFonts w:asciiTheme="majorHAnsi" w:hAnsiTheme="majorHAnsi" w:cstheme="majorHAnsi"/>
          <w:b/>
          <w:bCs/>
          <w:color w:val="002060"/>
        </w:rPr>
      </w:pPr>
      <w:r>
        <w:rPr>
          <w:rFonts w:asciiTheme="majorHAnsi" w:hAnsiTheme="majorHAnsi" w:cstheme="majorHAnsi"/>
          <w:b/>
          <w:bCs/>
          <w:color w:val="002060"/>
        </w:rPr>
        <w:br w:type="page"/>
      </w:r>
    </w:p>
    <w:p w14:paraId="1C9AFB15" w14:textId="1125FAA0" w:rsidR="00E850E1" w:rsidRDefault="00986B43" w:rsidP="00986B4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olor w:val="002060"/>
        </w:rPr>
      </w:pPr>
      <w:r w:rsidRPr="00DC6146">
        <w:rPr>
          <w:rFonts w:asciiTheme="majorHAnsi" w:hAnsiTheme="majorHAnsi" w:cstheme="majorHAnsi"/>
          <w:b/>
          <w:bCs/>
          <w:color w:val="002060"/>
        </w:rPr>
        <w:lastRenderedPageBreak/>
        <w:t>Akt wykonawczy dot. szczegółów i formatu ujawniania informacji o niesprzedanych produktach konsumpcyjnych</w:t>
      </w:r>
    </w:p>
    <w:p w14:paraId="6360BC55" w14:textId="77777777" w:rsidR="00336CCF" w:rsidRDefault="00336CCF" w:rsidP="00336CCF">
      <w:pPr>
        <w:pStyle w:val="Akapitzlist"/>
        <w:jc w:val="both"/>
        <w:rPr>
          <w:rFonts w:asciiTheme="majorHAnsi" w:hAnsiTheme="majorHAnsi" w:cstheme="majorHAnsi"/>
          <w:b/>
          <w:bCs/>
          <w:color w:val="002060"/>
        </w:rPr>
      </w:pPr>
    </w:p>
    <w:p w14:paraId="1CE3540E" w14:textId="77E084AD" w:rsidR="00A90886" w:rsidRPr="00A90886" w:rsidRDefault="00631CBF" w:rsidP="00A90886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2060"/>
        </w:rPr>
      </w:pPr>
      <w:r>
        <w:rPr>
          <w:rFonts w:asciiTheme="majorHAnsi" w:hAnsiTheme="majorHAnsi" w:cstheme="majorHAnsi"/>
          <w:b/>
          <w:bCs/>
          <w:color w:val="002060"/>
        </w:rPr>
        <w:t xml:space="preserve">rozbieżne podejście do kategoryzacji produktów w ramach </w:t>
      </w:r>
      <w:r w:rsidR="00A90886">
        <w:rPr>
          <w:rFonts w:asciiTheme="majorHAnsi" w:hAnsiTheme="majorHAnsi" w:cstheme="majorHAnsi"/>
          <w:b/>
          <w:bCs/>
          <w:color w:val="002060"/>
        </w:rPr>
        <w:t>raportowania (Art. 3)</w:t>
      </w:r>
    </w:p>
    <w:p w14:paraId="5A5201A7" w14:textId="05546556" w:rsidR="00F1074D" w:rsidRDefault="00A90886" w:rsidP="00F1074D">
      <w:pPr>
        <w:jc w:val="both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PSPKD popiera przyjęte przez Komisję Europejską podejście do kategoryzacji produktów </w:t>
      </w:r>
      <w:r w:rsidR="006E2676">
        <w:rPr>
          <w:rFonts w:asciiTheme="majorHAnsi" w:hAnsiTheme="majorHAnsi" w:cstheme="majorHAnsi"/>
          <w:color w:val="002060"/>
        </w:rPr>
        <w:br/>
      </w:r>
      <w:r>
        <w:rPr>
          <w:rFonts w:asciiTheme="majorHAnsi" w:hAnsiTheme="majorHAnsi" w:cstheme="majorHAnsi"/>
          <w:color w:val="002060"/>
        </w:rPr>
        <w:t xml:space="preserve">z wykorzystaniem kodów </w:t>
      </w:r>
      <w:r w:rsidR="007B4DE8">
        <w:rPr>
          <w:rFonts w:asciiTheme="majorHAnsi" w:hAnsiTheme="majorHAnsi" w:cstheme="majorHAnsi"/>
          <w:color w:val="002060"/>
        </w:rPr>
        <w:t xml:space="preserve">nomenklatury scalonej (CN) jako najwłaściwszego i najbardziej zharmonizowanego systemu klasyfikacji. Ze szczególnym zadowoleniem przyjmujemy także zaproponowane zróżnicowanie w odniesieniu do </w:t>
      </w:r>
      <w:r w:rsidR="00E81743">
        <w:rPr>
          <w:rFonts w:asciiTheme="majorHAnsi" w:hAnsiTheme="majorHAnsi" w:cstheme="majorHAnsi"/>
          <w:color w:val="002060"/>
        </w:rPr>
        <w:t xml:space="preserve">długości kodów – 2-cyfrowych lub we wskazanych, uzasadnionych przypadkach – 4-cyfrowych. </w:t>
      </w:r>
    </w:p>
    <w:p w14:paraId="48280332" w14:textId="516847EC" w:rsidR="009F0E85" w:rsidRDefault="009F0E85" w:rsidP="00F1074D">
      <w:pPr>
        <w:jc w:val="both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Takie podejście ma istotne znaczenie dla zapewnienia jasności, spójności i porównywalności danych </w:t>
      </w:r>
      <w:r w:rsidR="00336CCF">
        <w:rPr>
          <w:rFonts w:asciiTheme="majorHAnsi" w:hAnsiTheme="majorHAnsi" w:cstheme="majorHAnsi"/>
          <w:color w:val="002060"/>
        </w:rPr>
        <w:t>po</w:t>
      </w:r>
      <w:r>
        <w:rPr>
          <w:rFonts w:asciiTheme="majorHAnsi" w:hAnsiTheme="majorHAnsi" w:cstheme="majorHAnsi"/>
          <w:color w:val="002060"/>
        </w:rPr>
        <w:t>między sektorami, a także pozwala na dokładniejsze odzwierciedlenie praktyk i realiów</w:t>
      </w:r>
      <w:r w:rsidR="00826C11">
        <w:rPr>
          <w:rFonts w:asciiTheme="majorHAnsi" w:hAnsiTheme="majorHAnsi" w:cstheme="majorHAnsi"/>
          <w:color w:val="002060"/>
        </w:rPr>
        <w:t xml:space="preserve"> związanych </w:t>
      </w:r>
      <w:r w:rsidR="000473CD">
        <w:rPr>
          <w:rFonts w:asciiTheme="majorHAnsi" w:hAnsiTheme="majorHAnsi" w:cstheme="majorHAnsi"/>
          <w:color w:val="002060"/>
        </w:rPr>
        <w:br/>
      </w:r>
      <w:r w:rsidR="00826C11">
        <w:rPr>
          <w:rFonts w:asciiTheme="majorHAnsi" w:hAnsiTheme="majorHAnsi" w:cstheme="majorHAnsi"/>
          <w:color w:val="002060"/>
        </w:rPr>
        <w:t>z konkretnymi produktami</w:t>
      </w:r>
      <w:r w:rsidR="006427F1">
        <w:rPr>
          <w:rFonts w:asciiTheme="majorHAnsi" w:hAnsiTheme="majorHAnsi" w:cstheme="majorHAnsi"/>
          <w:color w:val="002060"/>
        </w:rPr>
        <w:t xml:space="preserve"> z zachowaniem </w:t>
      </w:r>
      <w:r w:rsidR="000473CD">
        <w:rPr>
          <w:rFonts w:asciiTheme="majorHAnsi" w:hAnsiTheme="majorHAnsi" w:cstheme="majorHAnsi"/>
          <w:color w:val="002060"/>
        </w:rPr>
        <w:t xml:space="preserve">transparentności i </w:t>
      </w:r>
      <w:r w:rsidR="006427F1">
        <w:rPr>
          <w:rFonts w:asciiTheme="majorHAnsi" w:hAnsiTheme="majorHAnsi" w:cstheme="majorHAnsi"/>
          <w:color w:val="002060"/>
        </w:rPr>
        <w:t>wystarczającej dokładności raportowania</w:t>
      </w:r>
      <w:r w:rsidR="000473CD">
        <w:rPr>
          <w:rFonts w:asciiTheme="majorHAnsi" w:hAnsiTheme="majorHAnsi" w:cstheme="majorHAnsi"/>
          <w:color w:val="002060"/>
        </w:rPr>
        <w:t>, przy jednoczesnej poufności przekazywanych danych</w:t>
      </w:r>
      <w:r w:rsidR="00826C11">
        <w:rPr>
          <w:rFonts w:asciiTheme="majorHAnsi" w:hAnsiTheme="majorHAnsi" w:cstheme="majorHAnsi"/>
          <w:color w:val="002060"/>
        </w:rPr>
        <w:t xml:space="preserve">. Takie podejście jest również zgodne z ramami celnymi i statystycznymi, minimalizując dodatkowe obciążenia dla podmiotów zaznajomionych już </w:t>
      </w:r>
      <w:r w:rsidR="000473CD">
        <w:rPr>
          <w:rFonts w:asciiTheme="majorHAnsi" w:hAnsiTheme="majorHAnsi" w:cstheme="majorHAnsi"/>
          <w:color w:val="002060"/>
        </w:rPr>
        <w:br/>
      </w:r>
      <w:r w:rsidR="00826C11">
        <w:rPr>
          <w:rFonts w:asciiTheme="majorHAnsi" w:hAnsiTheme="majorHAnsi" w:cstheme="majorHAnsi"/>
          <w:color w:val="002060"/>
        </w:rPr>
        <w:t xml:space="preserve">z systemem CN. </w:t>
      </w:r>
    </w:p>
    <w:p w14:paraId="01C68B69" w14:textId="77777777" w:rsidR="008B32B4" w:rsidRDefault="008B32B4" w:rsidP="00F1074D">
      <w:pPr>
        <w:jc w:val="both"/>
        <w:rPr>
          <w:rFonts w:asciiTheme="majorHAnsi" w:hAnsiTheme="majorHAnsi" w:cstheme="majorHAnsi"/>
          <w:color w:val="002060"/>
        </w:rPr>
      </w:pPr>
    </w:p>
    <w:p w14:paraId="71A725E9" w14:textId="31738D53" w:rsidR="00826C11" w:rsidRPr="00826C11" w:rsidRDefault="00826C11" w:rsidP="00826C11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2060"/>
        </w:rPr>
      </w:pPr>
      <w:r w:rsidRPr="00826C11">
        <w:rPr>
          <w:rFonts w:asciiTheme="majorHAnsi" w:hAnsiTheme="majorHAnsi" w:cstheme="majorHAnsi"/>
          <w:b/>
          <w:bCs/>
          <w:color w:val="002060"/>
        </w:rPr>
        <w:t>weryfikacja danych</w:t>
      </w:r>
    </w:p>
    <w:p w14:paraId="1CFE24A9" w14:textId="59EF56ED" w:rsidR="008A0144" w:rsidRDefault="00826C11" w:rsidP="00986B43">
      <w:pPr>
        <w:jc w:val="both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>PSPKD</w:t>
      </w:r>
      <w:r w:rsidR="004D1A9C">
        <w:rPr>
          <w:rFonts w:asciiTheme="majorHAnsi" w:hAnsiTheme="majorHAnsi" w:cstheme="majorHAnsi"/>
          <w:color w:val="002060"/>
        </w:rPr>
        <w:t xml:space="preserve"> wyraża sprzeciw wobec </w:t>
      </w:r>
      <w:r w:rsidR="00A6275D">
        <w:rPr>
          <w:rFonts w:asciiTheme="majorHAnsi" w:hAnsiTheme="majorHAnsi" w:cstheme="majorHAnsi"/>
          <w:color w:val="002060"/>
        </w:rPr>
        <w:t xml:space="preserve">wprowadzenia w ramach </w:t>
      </w:r>
      <w:r w:rsidR="007A4693">
        <w:rPr>
          <w:rFonts w:asciiTheme="majorHAnsi" w:hAnsiTheme="majorHAnsi" w:cstheme="majorHAnsi"/>
          <w:color w:val="002060"/>
        </w:rPr>
        <w:t xml:space="preserve">Art. 4 </w:t>
      </w:r>
      <w:r w:rsidR="00A6275D">
        <w:rPr>
          <w:rFonts w:asciiTheme="majorHAnsi" w:hAnsiTheme="majorHAnsi" w:cstheme="majorHAnsi"/>
          <w:color w:val="002060"/>
        </w:rPr>
        <w:t>wniosku KE obowiązku weryfikacji danych przez stronę trzecią</w:t>
      </w:r>
      <w:r w:rsidR="007A4693">
        <w:rPr>
          <w:rFonts w:asciiTheme="majorHAnsi" w:hAnsiTheme="majorHAnsi" w:cstheme="majorHAnsi"/>
          <w:color w:val="002060"/>
        </w:rPr>
        <w:t xml:space="preserve">. </w:t>
      </w:r>
      <w:r w:rsidR="00A6275D">
        <w:rPr>
          <w:rFonts w:asciiTheme="majorHAnsi" w:hAnsiTheme="majorHAnsi" w:cstheme="majorHAnsi"/>
          <w:color w:val="002060"/>
        </w:rPr>
        <w:t xml:space="preserve">Wprowadzenie </w:t>
      </w:r>
      <w:r w:rsidR="00E45BC5">
        <w:rPr>
          <w:rFonts w:asciiTheme="majorHAnsi" w:hAnsiTheme="majorHAnsi" w:cstheme="majorHAnsi"/>
          <w:color w:val="002060"/>
        </w:rPr>
        <w:t xml:space="preserve">takiego wymogu wiąże się z nieproporcjonalnym obciążeniem dla przedsiębiorstw, które już przygotowują się do wypełniania obowiązków sprawozdawczych. </w:t>
      </w:r>
      <w:r w:rsidR="00AF7743">
        <w:rPr>
          <w:rFonts w:asciiTheme="majorHAnsi" w:hAnsiTheme="majorHAnsi" w:cstheme="majorHAnsi"/>
          <w:color w:val="002060"/>
        </w:rPr>
        <w:t>Mechanizm weryfikacji przez podmiot trzeci skutkowałby</w:t>
      </w:r>
      <w:r w:rsidR="008A0144">
        <w:rPr>
          <w:rFonts w:asciiTheme="majorHAnsi" w:hAnsiTheme="majorHAnsi" w:cstheme="majorHAnsi"/>
          <w:color w:val="002060"/>
        </w:rPr>
        <w:t>:</w:t>
      </w:r>
    </w:p>
    <w:p w14:paraId="08889E48" w14:textId="238419DB" w:rsidR="00826C11" w:rsidRDefault="00AF7743" w:rsidP="008A0144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color w:val="002060"/>
        </w:rPr>
      </w:pPr>
      <w:r w:rsidRPr="008A0144">
        <w:rPr>
          <w:rFonts w:asciiTheme="majorHAnsi" w:hAnsiTheme="majorHAnsi" w:cstheme="majorHAnsi"/>
          <w:color w:val="002060"/>
        </w:rPr>
        <w:t>znacznym</w:t>
      </w:r>
      <w:r w:rsidR="008A0144">
        <w:rPr>
          <w:rFonts w:asciiTheme="majorHAnsi" w:hAnsiTheme="majorHAnsi" w:cstheme="majorHAnsi"/>
          <w:color w:val="002060"/>
        </w:rPr>
        <w:t xml:space="preserve"> dodatkowym obciążeniem finansowym</w:t>
      </w:r>
      <w:r w:rsidRPr="008A0144">
        <w:rPr>
          <w:rFonts w:asciiTheme="majorHAnsi" w:hAnsiTheme="majorHAnsi" w:cstheme="majorHAnsi"/>
          <w:color w:val="002060"/>
        </w:rPr>
        <w:t>, w tym</w:t>
      </w:r>
      <w:r w:rsidR="008A0144">
        <w:rPr>
          <w:rFonts w:asciiTheme="majorHAnsi" w:hAnsiTheme="majorHAnsi" w:cstheme="majorHAnsi"/>
          <w:color w:val="002060"/>
        </w:rPr>
        <w:t xml:space="preserve"> kosztami</w:t>
      </w:r>
      <w:r w:rsidRPr="008A0144">
        <w:rPr>
          <w:rFonts w:asciiTheme="majorHAnsi" w:hAnsiTheme="majorHAnsi" w:cstheme="majorHAnsi"/>
          <w:color w:val="002060"/>
        </w:rPr>
        <w:t xml:space="preserve"> opracowani</w:t>
      </w:r>
      <w:r w:rsidR="008A0144">
        <w:rPr>
          <w:rFonts w:asciiTheme="majorHAnsi" w:hAnsiTheme="majorHAnsi" w:cstheme="majorHAnsi"/>
          <w:color w:val="002060"/>
        </w:rPr>
        <w:t>a</w:t>
      </w:r>
      <w:r w:rsidRPr="008A0144">
        <w:rPr>
          <w:rFonts w:asciiTheme="majorHAnsi" w:hAnsiTheme="majorHAnsi" w:cstheme="majorHAnsi"/>
          <w:color w:val="002060"/>
        </w:rPr>
        <w:t xml:space="preserve"> systemów, </w:t>
      </w:r>
      <w:r w:rsidR="008A0144" w:rsidRPr="008A0144">
        <w:rPr>
          <w:rFonts w:asciiTheme="majorHAnsi" w:hAnsiTheme="majorHAnsi" w:cstheme="majorHAnsi"/>
          <w:color w:val="002060"/>
        </w:rPr>
        <w:t>ustanowien</w:t>
      </w:r>
      <w:r w:rsidR="008A0144">
        <w:rPr>
          <w:rFonts w:asciiTheme="majorHAnsi" w:hAnsiTheme="majorHAnsi" w:cstheme="majorHAnsi"/>
          <w:color w:val="002060"/>
        </w:rPr>
        <w:t>ia</w:t>
      </w:r>
      <w:r w:rsidR="008A0144" w:rsidRPr="008A0144">
        <w:rPr>
          <w:rFonts w:asciiTheme="majorHAnsi" w:hAnsiTheme="majorHAnsi" w:cstheme="majorHAnsi"/>
          <w:color w:val="002060"/>
        </w:rPr>
        <w:t xml:space="preserve"> wewnętrznych procedur oraz zaangażowani</w:t>
      </w:r>
      <w:r w:rsidR="008A0144">
        <w:rPr>
          <w:rFonts w:asciiTheme="majorHAnsi" w:hAnsiTheme="majorHAnsi" w:cstheme="majorHAnsi"/>
          <w:color w:val="002060"/>
        </w:rPr>
        <w:t>a</w:t>
      </w:r>
      <w:r w:rsidR="008A0144" w:rsidRPr="008A0144">
        <w:rPr>
          <w:rFonts w:asciiTheme="majorHAnsi" w:hAnsiTheme="majorHAnsi" w:cstheme="majorHAnsi"/>
          <w:color w:val="002060"/>
        </w:rPr>
        <w:t xml:space="preserve"> zewnętrznych dostawców usług atestacyjnych</w:t>
      </w:r>
      <w:r w:rsidR="008A0144">
        <w:rPr>
          <w:rFonts w:asciiTheme="majorHAnsi" w:hAnsiTheme="majorHAnsi" w:cstheme="majorHAnsi"/>
          <w:color w:val="002060"/>
        </w:rPr>
        <w:t>;</w:t>
      </w:r>
    </w:p>
    <w:p w14:paraId="510E4890" w14:textId="05822AC3" w:rsidR="008A0144" w:rsidRDefault="008A0144" w:rsidP="008A0144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opóźnieniami w raportowaniu, wynikającymi z czasu potrzebnego na zakończenie procesów poświadczania jakości; </w:t>
      </w:r>
    </w:p>
    <w:p w14:paraId="76AD12C8" w14:textId="38FE514D" w:rsidR="008A0144" w:rsidRDefault="008A0144" w:rsidP="008A0144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zmniejszoną elastycznością, ponieważ mechanizmy weryfikacji mogą utrudniać podmiotom gospodarczym aktualizację czy też korektę danych; </w:t>
      </w:r>
    </w:p>
    <w:p w14:paraId="3E858EAF" w14:textId="79E0AE08" w:rsidR="008A0144" w:rsidRPr="008A0144" w:rsidRDefault="008A0144" w:rsidP="008A0144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zwiększonym obciążeniem administracyjnym. </w:t>
      </w:r>
    </w:p>
    <w:p w14:paraId="52A4070F" w14:textId="50D38F0B" w:rsidR="007100F7" w:rsidRDefault="00986B43" w:rsidP="001F5AC3">
      <w:pPr>
        <w:jc w:val="both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PSPKD popiera system weryfikacji raportowanych informacji zgodnie z podejściem opartym na ryzyku </w:t>
      </w:r>
      <w:r w:rsidR="00803584">
        <w:rPr>
          <w:rFonts w:asciiTheme="majorHAnsi" w:hAnsiTheme="majorHAnsi" w:cstheme="majorHAnsi"/>
          <w:color w:val="002060"/>
        </w:rPr>
        <w:br/>
      </w:r>
      <w:r>
        <w:rPr>
          <w:rFonts w:asciiTheme="majorHAnsi" w:hAnsiTheme="majorHAnsi" w:cstheme="majorHAnsi"/>
          <w:color w:val="002060"/>
        </w:rPr>
        <w:t>w odniesieniu do wszystkich zainteresowanych podmiotów</w:t>
      </w:r>
      <w:r w:rsidR="005A6FCB">
        <w:rPr>
          <w:rFonts w:asciiTheme="majorHAnsi" w:hAnsiTheme="majorHAnsi" w:cstheme="majorHAnsi"/>
          <w:color w:val="002060"/>
        </w:rPr>
        <w:t xml:space="preserve">, jednak weryfikacja powinna opierać się </w:t>
      </w:r>
      <w:r w:rsidR="00803584">
        <w:rPr>
          <w:rFonts w:asciiTheme="majorHAnsi" w:hAnsiTheme="majorHAnsi" w:cstheme="majorHAnsi"/>
          <w:color w:val="002060"/>
        </w:rPr>
        <w:br/>
      </w:r>
      <w:r w:rsidR="005A6FCB">
        <w:rPr>
          <w:rFonts w:asciiTheme="majorHAnsi" w:hAnsiTheme="majorHAnsi" w:cstheme="majorHAnsi"/>
          <w:color w:val="002060"/>
        </w:rPr>
        <w:t xml:space="preserve">na podejściu </w:t>
      </w:r>
      <w:r w:rsidR="005A6FCB">
        <w:rPr>
          <w:rFonts w:asciiTheme="majorHAnsi" w:hAnsiTheme="majorHAnsi" w:cstheme="majorHAnsi"/>
          <w:i/>
          <w:iCs/>
          <w:color w:val="002060"/>
        </w:rPr>
        <w:t>ex-post</w:t>
      </w:r>
      <w:r w:rsidR="005A6FCB">
        <w:rPr>
          <w:rFonts w:asciiTheme="majorHAnsi" w:hAnsiTheme="majorHAnsi" w:cstheme="majorHAnsi"/>
          <w:color w:val="002060"/>
        </w:rPr>
        <w:t xml:space="preserve"> </w:t>
      </w:r>
      <w:r w:rsidR="001F5AC3" w:rsidRPr="001F5AC3">
        <w:rPr>
          <w:rFonts w:asciiTheme="majorHAnsi" w:hAnsiTheme="majorHAnsi" w:cstheme="majorHAnsi"/>
          <w:color w:val="002060"/>
        </w:rPr>
        <w:t xml:space="preserve">(po ujawnieniu informacji) przez właściwe organy krajowe za pomocą środków opisanych w art. 24 ust. 2 </w:t>
      </w:r>
      <w:r w:rsidR="001F5AC3">
        <w:rPr>
          <w:rFonts w:asciiTheme="majorHAnsi" w:hAnsiTheme="majorHAnsi" w:cstheme="majorHAnsi"/>
          <w:color w:val="002060"/>
        </w:rPr>
        <w:t xml:space="preserve">rozporządzenia ESPR </w:t>
      </w:r>
      <w:r w:rsidR="001F5AC3" w:rsidRPr="001F5AC3">
        <w:rPr>
          <w:rFonts w:asciiTheme="majorHAnsi" w:hAnsiTheme="majorHAnsi" w:cstheme="majorHAnsi"/>
          <w:color w:val="002060"/>
        </w:rPr>
        <w:t>i rozdziale XI.</w:t>
      </w:r>
      <w:r w:rsidR="000F4CAF">
        <w:rPr>
          <w:rFonts w:asciiTheme="majorHAnsi" w:hAnsiTheme="majorHAnsi" w:cstheme="majorHAnsi"/>
          <w:color w:val="002060"/>
        </w:rPr>
        <w:t xml:space="preserve"> </w:t>
      </w:r>
      <w:r w:rsidR="000C0B27" w:rsidRPr="000C0B27">
        <w:rPr>
          <w:rFonts w:asciiTheme="majorHAnsi" w:hAnsiTheme="majorHAnsi" w:cstheme="majorHAnsi"/>
          <w:color w:val="002060"/>
        </w:rPr>
        <w:t>Podejście to pozwoliłoby wykorzystać istniejące</w:t>
      </w:r>
      <w:r w:rsidR="000C0B27">
        <w:rPr>
          <w:rFonts w:asciiTheme="majorHAnsi" w:hAnsiTheme="majorHAnsi" w:cstheme="majorHAnsi"/>
          <w:color w:val="002060"/>
        </w:rPr>
        <w:t>, wewnętrzne</w:t>
      </w:r>
      <w:r w:rsidR="000C0B27" w:rsidRPr="000C0B27">
        <w:rPr>
          <w:rFonts w:asciiTheme="majorHAnsi" w:hAnsiTheme="majorHAnsi" w:cstheme="majorHAnsi"/>
          <w:color w:val="002060"/>
        </w:rPr>
        <w:t xml:space="preserve"> systemy</w:t>
      </w:r>
      <w:r w:rsidR="000C0B27">
        <w:rPr>
          <w:rFonts w:asciiTheme="majorHAnsi" w:hAnsiTheme="majorHAnsi" w:cstheme="majorHAnsi"/>
          <w:color w:val="002060"/>
        </w:rPr>
        <w:t xml:space="preserve"> podmiotów gospodarczych</w:t>
      </w:r>
      <w:r w:rsidR="000C0B27" w:rsidRPr="000C0B27">
        <w:rPr>
          <w:rFonts w:asciiTheme="majorHAnsi" w:hAnsiTheme="majorHAnsi" w:cstheme="majorHAnsi"/>
          <w:color w:val="002060"/>
        </w:rPr>
        <w:t xml:space="preserve">, </w:t>
      </w:r>
      <w:r w:rsidR="000C0B27">
        <w:rPr>
          <w:rFonts w:asciiTheme="majorHAnsi" w:hAnsiTheme="majorHAnsi" w:cstheme="majorHAnsi"/>
          <w:color w:val="002060"/>
        </w:rPr>
        <w:t xml:space="preserve">służące do monitorowania postępowania </w:t>
      </w:r>
      <w:r w:rsidR="00803584">
        <w:rPr>
          <w:rFonts w:asciiTheme="majorHAnsi" w:hAnsiTheme="majorHAnsi" w:cstheme="majorHAnsi"/>
          <w:color w:val="002060"/>
        </w:rPr>
        <w:br/>
      </w:r>
      <w:r w:rsidR="000C0B27">
        <w:rPr>
          <w:rFonts w:asciiTheme="majorHAnsi" w:hAnsiTheme="majorHAnsi" w:cstheme="majorHAnsi"/>
          <w:color w:val="002060"/>
        </w:rPr>
        <w:t xml:space="preserve">z </w:t>
      </w:r>
      <w:r w:rsidR="000C0B27" w:rsidRPr="000C0B27">
        <w:rPr>
          <w:rFonts w:asciiTheme="majorHAnsi" w:hAnsiTheme="majorHAnsi" w:cstheme="majorHAnsi"/>
          <w:color w:val="002060"/>
        </w:rPr>
        <w:t>niesprzedan</w:t>
      </w:r>
      <w:r w:rsidR="000C0B27">
        <w:rPr>
          <w:rFonts w:asciiTheme="majorHAnsi" w:hAnsiTheme="majorHAnsi" w:cstheme="majorHAnsi"/>
          <w:color w:val="002060"/>
        </w:rPr>
        <w:t>ymi</w:t>
      </w:r>
      <w:r w:rsidR="000C0B27" w:rsidRPr="000C0B27">
        <w:rPr>
          <w:rFonts w:asciiTheme="majorHAnsi" w:hAnsiTheme="majorHAnsi" w:cstheme="majorHAnsi"/>
          <w:color w:val="002060"/>
        </w:rPr>
        <w:t xml:space="preserve"> produkt</w:t>
      </w:r>
      <w:r w:rsidR="000C0B27">
        <w:rPr>
          <w:rFonts w:asciiTheme="majorHAnsi" w:hAnsiTheme="majorHAnsi" w:cstheme="majorHAnsi"/>
          <w:color w:val="002060"/>
        </w:rPr>
        <w:t>ami</w:t>
      </w:r>
      <w:r w:rsidR="000C0B27" w:rsidRPr="000C0B27">
        <w:rPr>
          <w:rFonts w:asciiTheme="majorHAnsi" w:hAnsiTheme="majorHAnsi" w:cstheme="majorHAnsi"/>
          <w:color w:val="002060"/>
        </w:rPr>
        <w:t xml:space="preserve"> konsumpcyjn</w:t>
      </w:r>
      <w:r w:rsidR="000C0B27">
        <w:rPr>
          <w:rFonts w:asciiTheme="majorHAnsi" w:hAnsiTheme="majorHAnsi" w:cstheme="majorHAnsi"/>
          <w:color w:val="002060"/>
        </w:rPr>
        <w:t xml:space="preserve">ymi oraz </w:t>
      </w:r>
      <w:r w:rsidR="000C0B27" w:rsidRPr="000C0B27">
        <w:rPr>
          <w:rFonts w:asciiTheme="majorHAnsi" w:hAnsiTheme="majorHAnsi" w:cstheme="majorHAnsi"/>
          <w:color w:val="002060"/>
        </w:rPr>
        <w:t>ich dostaw</w:t>
      </w:r>
      <w:r w:rsidR="000C0B27">
        <w:rPr>
          <w:rFonts w:asciiTheme="majorHAnsi" w:hAnsiTheme="majorHAnsi" w:cstheme="majorHAnsi"/>
          <w:color w:val="002060"/>
        </w:rPr>
        <w:t>y</w:t>
      </w:r>
      <w:r w:rsidR="000C0B27" w:rsidRPr="000C0B27">
        <w:rPr>
          <w:rFonts w:asciiTheme="majorHAnsi" w:hAnsiTheme="majorHAnsi" w:cstheme="majorHAnsi"/>
          <w:color w:val="002060"/>
        </w:rPr>
        <w:t xml:space="preserve"> do zakładów przetwarzania odpadów</w:t>
      </w:r>
      <w:r w:rsidR="000C0B27">
        <w:rPr>
          <w:rFonts w:asciiTheme="majorHAnsi" w:hAnsiTheme="majorHAnsi" w:cstheme="majorHAnsi"/>
          <w:color w:val="002060"/>
        </w:rPr>
        <w:t>,</w:t>
      </w:r>
      <w:r w:rsidR="000C0B27" w:rsidRPr="000C0B27">
        <w:rPr>
          <w:rFonts w:asciiTheme="majorHAnsi" w:hAnsiTheme="majorHAnsi" w:cstheme="majorHAnsi"/>
          <w:color w:val="002060"/>
        </w:rPr>
        <w:t xml:space="preserve"> które w wielu przypadkach podlegają już nadzorowi krajowemu.</w:t>
      </w:r>
    </w:p>
    <w:p w14:paraId="596CD2D8" w14:textId="3EE18382" w:rsidR="008B32B4" w:rsidRDefault="008B32B4">
      <w:pPr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br w:type="page"/>
      </w:r>
    </w:p>
    <w:p w14:paraId="6C7EE04D" w14:textId="77777777" w:rsidR="008B32B4" w:rsidRDefault="008B32B4" w:rsidP="001F5AC3">
      <w:pPr>
        <w:jc w:val="both"/>
        <w:rPr>
          <w:rFonts w:asciiTheme="majorHAnsi" w:hAnsiTheme="majorHAnsi" w:cstheme="majorHAnsi"/>
          <w:color w:val="002060"/>
        </w:rPr>
      </w:pPr>
    </w:p>
    <w:p w14:paraId="0ABC2449" w14:textId="37EA2CCB" w:rsidR="00576F0E" w:rsidRDefault="00576F0E" w:rsidP="00576F0E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  <w:color w:val="002060"/>
        </w:rPr>
      </w:pPr>
      <w:r w:rsidRPr="00576F0E">
        <w:rPr>
          <w:rFonts w:asciiTheme="majorHAnsi" w:hAnsiTheme="majorHAnsi" w:cstheme="majorHAnsi"/>
          <w:b/>
          <w:bCs/>
          <w:color w:val="002060"/>
        </w:rPr>
        <w:t>wejście w życie i stosowanie</w:t>
      </w:r>
    </w:p>
    <w:p w14:paraId="7C3A4C22" w14:textId="2DBFD374" w:rsidR="00576F0E" w:rsidRPr="00576F0E" w:rsidRDefault="00576F0E" w:rsidP="005D7120">
      <w:pPr>
        <w:jc w:val="both"/>
        <w:rPr>
          <w:rFonts w:asciiTheme="majorHAnsi" w:hAnsiTheme="majorHAnsi" w:cstheme="majorHAnsi"/>
          <w:color w:val="002060"/>
        </w:rPr>
      </w:pPr>
      <w:r w:rsidRPr="00576F0E">
        <w:rPr>
          <w:rFonts w:asciiTheme="majorHAnsi" w:hAnsiTheme="majorHAnsi" w:cstheme="majorHAnsi"/>
          <w:color w:val="002060"/>
        </w:rPr>
        <w:t>PSPKD</w:t>
      </w:r>
      <w:r>
        <w:rPr>
          <w:rFonts w:asciiTheme="majorHAnsi" w:hAnsiTheme="majorHAnsi" w:cstheme="majorHAnsi"/>
          <w:color w:val="002060"/>
        </w:rPr>
        <w:t xml:space="preserve"> popiera </w:t>
      </w:r>
      <w:r w:rsidR="00562C1D">
        <w:rPr>
          <w:rFonts w:asciiTheme="majorHAnsi" w:hAnsiTheme="majorHAnsi" w:cstheme="majorHAnsi"/>
          <w:color w:val="002060"/>
        </w:rPr>
        <w:t>wniosek Komisji dotyczący stosowania przygotowanego aktu wykonawczego</w:t>
      </w:r>
      <w:r w:rsidR="000C0B27">
        <w:rPr>
          <w:rFonts w:asciiTheme="majorHAnsi" w:hAnsiTheme="majorHAnsi" w:cstheme="majorHAnsi"/>
          <w:color w:val="002060"/>
        </w:rPr>
        <w:t xml:space="preserve"> po upływie</w:t>
      </w:r>
      <w:r w:rsidR="00562C1D">
        <w:rPr>
          <w:rFonts w:asciiTheme="majorHAnsi" w:hAnsiTheme="majorHAnsi" w:cstheme="majorHAnsi"/>
          <w:color w:val="002060"/>
        </w:rPr>
        <w:t xml:space="preserve"> 12 miesięcy </w:t>
      </w:r>
      <w:r w:rsidR="000C0B27">
        <w:rPr>
          <w:rFonts w:asciiTheme="majorHAnsi" w:hAnsiTheme="majorHAnsi" w:cstheme="majorHAnsi"/>
          <w:color w:val="002060"/>
        </w:rPr>
        <w:t>od</w:t>
      </w:r>
      <w:r w:rsidR="00562C1D">
        <w:rPr>
          <w:rFonts w:asciiTheme="majorHAnsi" w:hAnsiTheme="majorHAnsi" w:cstheme="majorHAnsi"/>
          <w:color w:val="002060"/>
        </w:rPr>
        <w:t xml:space="preserve"> jego wejści</w:t>
      </w:r>
      <w:r w:rsidR="000C0B27">
        <w:rPr>
          <w:rFonts w:asciiTheme="majorHAnsi" w:hAnsiTheme="majorHAnsi" w:cstheme="majorHAnsi"/>
          <w:color w:val="002060"/>
        </w:rPr>
        <w:t>a</w:t>
      </w:r>
      <w:r w:rsidR="00562C1D">
        <w:rPr>
          <w:rFonts w:asciiTheme="majorHAnsi" w:hAnsiTheme="majorHAnsi" w:cstheme="majorHAnsi"/>
          <w:color w:val="002060"/>
        </w:rPr>
        <w:t xml:space="preserve"> w życie, jak zostało </w:t>
      </w:r>
      <w:r w:rsidR="000C0B27">
        <w:rPr>
          <w:rFonts w:asciiTheme="majorHAnsi" w:hAnsiTheme="majorHAnsi" w:cstheme="majorHAnsi"/>
          <w:color w:val="002060"/>
        </w:rPr>
        <w:t xml:space="preserve">to </w:t>
      </w:r>
      <w:r w:rsidR="00562C1D">
        <w:rPr>
          <w:rFonts w:asciiTheme="majorHAnsi" w:hAnsiTheme="majorHAnsi" w:cstheme="majorHAnsi"/>
          <w:color w:val="002060"/>
        </w:rPr>
        <w:t xml:space="preserve">wskazane w ramach Art. 5. Taki okres przejściowy jest niezbędny, aby podmioty gospodarcze </w:t>
      </w:r>
      <w:r w:rsidR="000C0B27">
        <w:rPr>
          <w:rFonts w:asciiTheme="majorHAnsi" w:hAnsiTheme="majorHAnsi" w:cstheme="majorHAnsi"/>
          <w:color w:val="002060"/>
        </w:rPr>
        <w:t xml:space="preserve">mogły </w:t>
      </w:r>
      <w:r w:rsidR="00562C1D">
        <w:rPr>
          <w:rFonts w:asciiTheme="majorHAnsi" w:hAnsiTheme="majorHAnsi" w:cstheme="majorHAnsi"/>
          <w:color w:val="002060"/>
        </w:rPr>
        <w:t>dostosow</w:t>
      </w:r>
      <w:r w:rsidR="008B32B4">
        <w:rPr>
          <w:rFonts w:asciiTheme="majorHAnsi" w:hAnsiTheme="majorHAnsi" w:cstheme="majorHAnsi"/>
          <w:color w:val="002060"/>
        </w:rPr>
        <w:t xml:space="preserve">ać </w:t>
      </w:r>
      <w:r w:rsidR="00562C1D">
        <w:rPr>
          <w:rFonts w:asciiTheme="majorHAnsi" w:hAnsiTheme="majorHAnsi" w:cstheme="majorHAnsi"/>
          <w:color w:val="002060"/>
        </w:rPr>
        <w:t>wewnętrzn</w:t>
      </w:r>
      <w:r w:rsidR="008B32B4">
        <w:rPr>
          <w:rFonts w:asciiTheme="majorHAnsi" w:hAnsiTheme="majorHAnsi" w:cstheme="majorHAnsi"/>
          <w:color w:val="002060"/>
        </w:rPr>
        <w:t>e</w:t>
      </w:r>
      <w:r w:rsidR="00562C1D">
        <w:rPr>
          <w:rFonts w:asciiTheme="majorHAnsi" w:hAnsiTheme="majorHAnsi" w:cstheme="majorHAnsi"/>
          <w:color w:val="002060"/>
        </w:rPr>
        <w:t xml:space="preserve"> proces</w:t>
      </w:r>
      <w:r w:rsidR="008B32B4">
        <w:rPr>
          <w:rFonts w:asciiTheme="majorHAnsi" w:hAnsiTheme="majorHAnsi" w:cstheme="majorHAnsi"/>
          <w:color w:val="002060"/>
        </w:rPr>
        <w:t>y</w:t>
      </w:r>
      <w:r w:rsidR="00562C1D">
        <w:rPr>
          <w:rFonts w:asciiTheme="majorHAnsi" w:hAnsiTheme="majorHAnsi" w:cstheme="majorHAnsi"/>
          <w:color w:val="002060"/>
        </w:rPr>
        <w:t xml:space="preserve"> i system</w:t>
      </w:r>
      <w:r w:rsidR="008B32B4">
        <w:rPr>
          <w:rFonts w:asciiTheme="majorHAnsi" w:hAnsiTheme="majorHAnsi" w:cstheme="majorHAnsi"/>
          <w:color w:val="002060"/>
        </w:rPr>
        <w:t>y</w:t>
      </w:r>
      <w:r w:rsidR="00562C1D">
        <w:rPr>
          <w:rFonts w:asciiTheme="majorHAnsi" w:hAnsiTheme="majorHAnsi" w:cstheme="majorHAnsi"/>
          <w:color w:val="002060"/>
        </w:rPr>
        <w:t xml:space="preserve"> gromadzenia oraz </w:t>
      </w:r>
      <w:r w:rsidR="008101DF">
        <w:rPr>
          <w:rFonts w:asciiTheme="majorHAnsi" w:hAnsiTheme="majorHAnsi" w:cstheme="majorHAnsi"/>
          <w:color w:val="002060"/>
        </w:rPr>
        <w:t>ujawniania informacji</w:t>
      </w:r>
      <w:r w:rsidR="008B32B4">
        <w:rPr>
          <w:rFonts w:asciiTheme="majorHAnsi" w:hAnsiTheme="majorHAnsi" w:cstheme="majorHAnsi"/>
          <w:color w:val="002060"/>
        </w:rPr>
        <w:t xml:space="preserve"> do nowych wymogów</w:t>
      </w:r>
      <w:r w:rsidR="008101DF">
        <w:rPr>
          <w:rFonts w:asciiTheme="majorHAnsi" w:hAnsiTheme="majorHAnsi" w:cstheme="majorHAnsi"/>
          <w:color w:val="002060"/>
        </w:rPr>
        <w:t>, a tym samym będzie spójny z cel</w:t>
      </w:r>
      <w:r w:rsidR="008B32B4">
        <w:rPr>
          <w:rFonts w:asciiTheme="majorHAnsi" w:hAnsiTheme="majorHAnsi" w:cstheme="majorHAnsi"/>
          <w:color w:val="002060"/>
        </w:rPr>
        <w:t>a</w:t>
      </w:r>
      <w:r w:rsidR="008101DF">
        <w:rPr>
          <w:rFonts w:asciiTheme="majorHAnsi" w:hAnsiTheme="majorHAnsi" w:cstheme="majorHAnsi"/>
          <w:color w:val="002060"/>
        </w:rPr>
        <w:t>m</w:t>
      </w:r>
      <w:r w:rsidR="008B32B4">
        <w:rPr>
          <w:rFonts w:asciiTheme="majorHAnsi" w:hAnsiTheme="majorHAnsi" w:cstheme="majorHAnsi"/>
          <w:color w:val="002060"/>
        </w:rPr>
        <w:t>i</w:t>
      </w:r>
      <w:r w:rsidR="008101DF">
        <w:rPr>
          <w:rFonts w:asciiTheme="majorHAnsi" w:hAnsiTheme="majorHAnsi" w:cstheme="majorHAnsi"/>
          <w:color w:val="002060"/>
        </w:rPr>
        <w:t xml:space="preserve"> polityki UE dążącej do zmniejszenia obciążeń administracyjnych</w:t>
      </w:r>
      <w:r w:rsidR="008B32B4">
        <w:rPr>
          <w:rFonts w:asciiTheme="majorHAnsi" w:hAnsiTheme="majorHAnsi" w:cstheme="majorHAnsi"/>
          <w:color w:val="002060"/>
        </w:rPr>
        <w:t xml:space="preserve"> dla firm</w:t>
      </w:r>
      <w:r w:rsidR="008101DF">
        <w:rPr>
          <w:rFonts w:asciiTheme="majorHAnsi" w:hAnsiTheme="majorHAnsi" w:cstheme="majorHAnsi"/>
          <w:color w:val="002060"/>
        </w:rPr>
        <w:t xml:space="preserve"> i zape</w:t>
      </w:r>
      <w:r w:rsidR="005D7120">
        <w:rPr>
          <w:rFonts w:asciiTheme="majorHAnsi" w:hAnsiTheme="majorHAnsi" w:cstheme="majorHAnsi"/>
          <w:color w:val="002060"/>
        </w:rPr>
        <w:t xml:space="preserve">wnienia proporcjonalnego wdrożenia przepisów dot. zrównoważonego rozwoju. </w:t>
      </w:r>
    </w:p>
    <w:sectPr w:rsidR="00576F0E" w:rsidRPr="00576F0E" w:rsidSect="000D02D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997D" w14:textId="77777777" w:rsidR="000D02DE" w:rsidRDefault="000D02DE" w:rsidP="00E82860">
      <w:pPr>
        <w:spacing w:after="0" w:line="240" w:lineRule="auto"/>
      </w:pPr>
      <w:r>
        <w:separator/>
      </w:r>
    </w:p>
  </w:endnote>
  <w:endnote w:type="continuationSeparator" w:id="0">
    <w:p w14:paraId="5A88765D" w14:textId="77777777" w:rsidR="000D02DE" w:rsidRDefault="000D02DE" w:rsidP="00E8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26F3" w14:textId="3A64A446" w:rsidR="00E82860" w:rsidRDefault="00E8286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DD8F" wp14:editId="56BA2562">
          <wp:simplePos x="0" y="0"/>
          <wp:positionH relativeFrom="page">
            <wp:align>left</wp:align>
          </wp:positionH>
          <wp:positionV relativeFrom="paragraph">
            <wp:posOffset>-67945</wp:posOffset>
          </wp:positionV>
          <wp:extent cx="7578090" cy="1269365"/>
          <wp:effectExtent l="0" t="0" r="3810" b="6985"/>
          <wp:wrapSquare wrapText="bothSides"/>
          <wp:docPr id="4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Obraz zawierający tekst&#10;&#10;Opis wygenerowany automatyczn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090" cy="1269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9C66" w14:textId="77777777" w:rsidR="000D02DE" w:rsidRDefault="000D02DE" w:rsidP="00E82860">
      <w:pPr>
        <w:spacing w:after="0" w:line="240" w:lineRule="auto"/>
      </w:pPr>
      <w:r>
        <w:separator/>
      </w:r>
    </w:p>
  </w:footnote>
  <w:footnote w:type="continuationSeparator" w:id="0">
    <w:p w14:paraId="70DB5961" w14:textId="77777777" w:rsidR="000D02DE" w:rsidRDefault="000D02DE" w:rsidP="00E82860">
      <w:pPr>
        <w:spacing w:after="0" w:line="240" w:lineRule="auto"/>
      </w:pPr>
      <w:r>
        <w:continuationSeparator/>
      </w:r>
    </w:p>
  </w:footnote>
  <w:footnote w:id="1">
    <w:p w14:paraId="3F5A9DB4" w14:textId="660ACC83" w:rsidR="007A2139" w:rsidRDefault="007A2139">
      <w:pPr>
        <w:pStyle w:val="Tekstprzypisudolnego"/>
      </w:pPr>
      <w:r w:rsidRPr="007B5818">
        <w:rPr>
          <w:rStyle w:val="Odwoanieprzypisudolnego"/>
          <w:color w:val="002060"/>
          <w:sz w:val="16"/>
          <w:szCs w:val="16"/>
        </w:rPr>
        <w:footnoteRef/>
      </w:r>
      <w:r w:rsidRPr="007B5818">
        <w:rPr>
          <w:color w:val="002060"/>
          <w:sz w:val="16"/>
          <w:szCs w:val="16"/>
        </w:rPr>
        <w:t xml:space="preserve"> https://publications.jrc.ec.europa.eu/repository/handle/JRC138903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7618" w14:textId="3177CE60" w:rsidR="00E82860" w:rsidRPr="00E82860" w:rsidRDefault="005171F7" w:rsidP="00E82860">
    <w:pPr>
      <w:pStyle w:val="Nagwek"/>
    </w:pPr>
    <w:sdt>
      <w:sdtPr>
        <w:id w:val="-1201015633"/>
        <w:docPartObj>
          <w:docPartGallery w:val="Page Numbers (Margins)"/>
          <w:docPartUnique/>
        </w:docPartObj>
      </w:sdtPr>
      <w:sdtEndPr/>
      <w:sdtContent>
        <w:r w:rsidR="003552F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84CB710" wp14:editId="26FC8A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5245214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79E7A" w14:textId="7E4A48C8" w:rsidR="003552FA" w:rsidRDefault="003552F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4C73C6"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3552FA">
                                <w:rPr>
                                  <w:rFonts w:eastAsiaTheme="minorEastAsia" w:cs="Times New Roman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3552FA">
                                <w:rPr>
                                  <w:sz w:val="14"/>
                                  <w:szCs w:val="14"/>
                                </w:rPr>
                                <w:instrText>PAGE    \* MERGEFORMAT</w:instrText>
                              </w:r>
                              <w:r w:rsidRPr="003552FA">
                                <w:rPr>
                                  <w:rFonts w:eastAsiaTheme="minorEastAsia" w:cs="Times New Roman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3552FA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3552FA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4CB710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2179E7A" w14:textId="7E4A48C8" w:rsidR="003552FA" w:rsidRDefault="003552F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4C73C6"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3552FA">
                          <w:rPr>
                            <w:rFonts w:eastAsiaTheme="minorEastAsia" w:cs="Times New Roman"/>
                            <w:sz w:val="14"/>
                            <w:szCs w:val="14"/>
                          </w:rPr>
                          <w:fldChar w:fldCharType="begin"/>
                        </w:r>
                        <w:r w:rsidRPr="003552FA">
                          <w:rPr>
                            <w:sz w:val="14"/>
                            <w:szCs w:val="14"/>
                          </w:rPr>
                          <w:instrText>PAGE    \* MERGEFORMAT</w:instrText>
                        </w:r>
                        <w:r w:rsidRPr="003552FA">
                          <w:rPr>
                            <w:rFonts w:eastAsiaTheme="minorEastAsia" w:cs="Times New Roman"/>
                            <w:sz w:val="14"/>
                            <w:szCs w:val="14"/>
                          </w:rPr>
                          <w:fldChar w:fldCharType="separate"/>
                        </w:r>
                        <w:r w:rsidRPr="003552FA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t>2</w:t>
                        </w:r>
                        <w:r w:rsidRPr="003552FA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82860">
      <w:rPr>
        <w:noProof/>
      </w:rPr>
      <w:drawing>
        <wp:anchor distT="0" distB="0" distL="114300" distR="114300" simplePos="0" relativeHeight="251658240" behindDoc="0" locked="0" layoutInCell="1" allowOverlap="1" wp14:anchorId="07B7B5EB" wp14:editId="74CFAF47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1420" cy="1211580"/>
          <wp:effectExtent l="0" t="0" r="0" b="762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4B49"/>
    <w:multiLevelType w:val="hybridMultilevel"/>
    <w:tmpl w:val="C818CF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5F35C0"/>
    <w:multiLevelType w:val="hybridMultilevel"/>
    <w:tmpl w:val="36828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827048">
    <w:abstractNumId w:val="1"/>
  </w:num>
  <w:num w:numId="2" w16cid:durableId="24734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60"/>
    <w:rsid w:val="000473CD"/>
    <w:rsid w:val="00075060"/>
    <w:rsid w:val="000B0483"/>
    <w:rsid w:val="000C0B27"/>
    <w:rsid w:val="000D02DE"/>
    <w:rsid w:val="000F4CAF"/>
    <w:rsid w:val="00104DB8"/>
    <w:rsid w:val="00105AE8"/>
    <w:rsid w:val="00143FDF"/>
    <w:rsid w:val="00157A89"/>
    <w:rsid w:val="001F5AC3"/>
    <w:rsid w:val="00205484"/>
    <w:rsid w:val="002617F5"/>
    <w:rsid w:val="00301968"/>
    <w:rsid w:val="00310C2B"/>
    <w:rsid w:val="00336CCF"/>
    <w:rsid w:val="003519D5"/>
    <w:rsid w:val="003552FA"/>
    <w:rsid w:val="00373DDA"/>
    <w:rsid w:val="003C7330"/>
    <w:rsid w:val="003F7980"/>
    <w:rsid w:val="00493B26"/>
    <w:rsid w:val="004C73C6"/>
    <w:rsid w:val="004D1A9C"/>
    <w:rsid w:val="004D4AB9"/>
    <w:rsid w:val="005171F7"/>
    <w:rsid w:val="005373E4"/>
    <w:rsid w:val="00550FAB"/>
    <w:rsid w:val="00562C1D"/>
    <w:rsid w:val="00576F0E"/>
    <w:rsid w:val="0058051F"/>
    <w:rsid w:val="005A6FCB"/>
    <w:rsid w:val="005B5885"/>
    <w:rsid w:val="005C5CDA"/>
    <w:rsid w:val="005D7120"/>
    <w:rsid w:val="005E0075"/>
    <w:rsid w:val="00617DF6"/>
    <w:rsid w:val="00631CBF"/>
    <w:rsid w:val="006427F1"/>
    <w:rsid w:val="006D08F2"/>
    <w:rsid w:val="006E2676"/>
    <w:rsid w:val="007100F7"/>
    <w:rsid w:val="00745575"/>
    <w:rsid w:val="007577AF"/>
    <w:rsid w:val="007606D4"/>
    <w:rsid w:val="007A2139"/>
    <w:rsid w:val="007A4693"/>
    <w:rsid w:val="007B094E"/>
    <w:rsid w:val="007B4DE8"/>
    <w:rsid w:val="007B4F13"/>
    <w:rsid w:val="007B5818"/>
    <w:rsid w:val="007C0BED"/>
    <w:rsid w:val="007F35BC"/>
    <w:rsid w:val="00803584"/>
    <w:rsid w:val="00805FA8"/>
    <w:rsid w:val="008101DF"/>
    <w:rsid w:val="00826C11"/>
    <w:rsid w:val="00826E63"/>
    <w:rsid w:val="008632B2"/>
    <w:rsid w:val="008A0144"/>
    <w:rsid w:val="008B32B4"/>
    <w:rsid w:val="008E7DE1"/>
    <w:rsid w:val="0096261B"/>
    <w:rsid w:val="00986B43"/>
    <w:rsid w:val="009F0E85"/>
    <w:rsid w:val="00A61C68"/>
    <w:rsid w:val="00A6275D"/>
    <w:rsid w:val="00A90886"/>
    <w:rsid w:val="00AF7743"/>
    <w:rsid w:val="00B0412F"/>
    <w:rsid w:val="00B6073F"/>
    <w:rsid w:val="00BA1D6E"/>
    <w:rsid w:val="00BA3CC2"/>
    <w:rsid w:val="00BA588C"/>
    <w:rsid w:val="00BC09CE"/>
    <w:rsid w:val="00BE2F0C"/>
    <w:rsid w:val="00C33BFE"/>
    <w:rsid w:val="00CA2BEF"/>
    <w:rsid w:val="00D4500A"/>
    <w:rsid w:val="00D61B2C"/>
    <w:rsid w:val="00D80967"/>
    <w:rsid w:val="00DA39ED"/>
    <w:rsid w:val="00DB3174"/>
    <w:rsid w:val="00DC6146"/>
    <w:rsid w:val="00E16401"/>
    <w:rsid w:val="00E45BC5"/>
    <w:rsid w:val="00E63D1E"/>
    <w:rsid w:val="00E81743"/>
    <w:rsid w:val="00E82860"/>
    <w:rsid w:val="00E850E1"/>
    <w:rsid w:val="00EE52DE"/>
    <w:rsid w:val="00F1074D"/>
    <w:rsid w:val="00F16F0C"/>
    <w:rsid w:val="00F3089B"/>
    <w:rsid w:val="00F543EC"/>
    <w:rsid w:val="00F611F7"/>
    <w:rsid w:val="00F71336"/>
    <w:rsid w:val="00F8515F"/>
    <w:rsid w:val="00F957A4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93EB"/>
  <w15:chartTrackingRefBased/>
  <w15:docId w15:val="{DC62093D-5122-4D90-8763-139D85D6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860"/>
  </w:style>
  <w:style w:type="paragraph" w:styleId="Stopka">
    <w:name w:val="footer"/>
    <w:basedOn w:val="Normalny"/>
    <w:link w:val="StopkaZnak"/>
    <w:uiPriority w:val="99"/>
    <w:unhideWhenUsed/>
    <w:rsid w:val="00E8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860"/>
  </w:style>
  <w:style w:type="table" w:styleId="Tabela-Siatka">
    <w:name w:val="Table Grid"/>
    <w:basedOn w:val="Standardowy"/>
    <w:uiPriority w:val="39"/>
    <w:rsid w:val="005C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9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9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9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6B43"/>
    <w:pPr>
      <w:ind w:left="720"/>
      <w:contextualSpacing/>
    </w:pPr>
  </w:style>
  <w:style w:type="paragraph" w:styleId="Poprawka">
    <w:name w:val="Revision"/>
    <w:hidden/>
    <w:uiPriority w:val="99"/>
    <w:semiHidden/>
    <w:rsid w:val="00517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5A17-8188-4C7D-B7C1-84CD93A9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PSPKD</dc:creator>
  <cp:keywords/>
  <dc:description/>
  <cp:lastModifiedBy>Karolina Chojnacka</cp:lastModifiedBy>
  <cp:revision>61</cp:revision>
  <dcterms:created xsi:type="dcterms:W3CDTF">2025-06-25T13:11:00Z</dcterms:created>
  <dcterms:modified xsi:type="dcterms:W3CDTF">2025-06-26T06:35:00Z</dcterms:modified>
</cp:coreProperties>
</file>