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B58D" w14:textId="424C703D" w:rsidR="00760565" w:rsidRPr="00005901" w:rsidRDefault="00760565" w:rsidP="00005901">
      <w:pPr>
        <w:ind w:left="-141"/>
        <w:jc w:val="both"/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</w:pPr>
      <w:r w:rsidRPr="006B2015"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  <w:t>LEGISLACJA DLA BIZNESU:</w:t>
      </w:r>
      <w:r w:rsidRPr="006B2015">
        <w:rPr>
          <w:rFonts w:ascii="Calibri Light" w:eastAsia="Alef" w:hAnsi="Calibri Light" w:cs="Calibri Light"/>
          <w:b/>
          <w:color w:val="3F2B73"/>
          <w:sz w:val="24"/>
          <w:szCs w:val="24"/>
          <w:lang w:val="pl-PL"/>
        </w:rPr>
        <w:t xml:space="preserve"> </w:t>
      </w:r>
      <w:r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>szkolenie online</w:t>
      </w:r>
      <w:r w:rsidR="00FC5A69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 xml:space="preserve"> </w:t>
      </w:r>
      <w:r w:rsidR="00FC5A69" w:rsidRPr="006B2015"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  <w:t>„</w:t>
      </w:r>
      <w:r w:rsidR="00982923" w:rsidRPr="00982923"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  <w:t>Podstawy raportowania ESG oraz szacowania śladu węglowego i LCA</w:t>
      </w:r>
      <w:r w:rsidR="00400848" w:rsidRPr="006B2015"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  <w:t>”</w:t>
      </w:r>
      <w:r w:rsidR="00005901"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  <w:t xml:space="preserve"> </w:t>
      </w:r>
      <w:r w:rsidR="00005901" w:rsidRPr="00D85851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>–</w:t>
      </w:r>
      <w:r w:rsidR="00005901">
        <w:rPr>
          <w:rFonts w:ascii="Calibri Light" w:eastAsia="Alef" w:hAnsi="Calibri Light" w:cs="Calibri Light"/>
          <w:b/>
          <w:color w:val="D7A95A"/>
          <w:sz w:val="24"/>
          <w:szCs w:val="24"/>
          <w:lang w:val="pl-PL"/>
        </w:rPr>
        <w:t xml:space="preserve"> </w:t>
      </w:r>
      <w:r w:rsidR="00255031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>1</w:t>
      </w:r>
      <w:r w:rsidR="00E915DA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 xml:space="preserve"> </w:t>
      </w:r>
      <w:r w:rsidR="006B2015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>lutego</w:t>
      </w:r>
      <w:r w:rsidR="00D904A5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 xml:space="preserve"> 202</w:t>
      </w:r>
      <w:r w:rsidR="006B2015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>4</w:t>
      </w:r>
      <w:r w:rsidR="00255031" w:rsidRPr="006C449A">
        <w:rPr>
          <w:rFonts w:ascii="Calibri Light" w:eastAsia="Alef" w:hAnsi="Calibri Light" w:cs="Calibri Light"/>
          <w:b/>
          <w:color w:val="002060"/>
          <w:sz w:val="24"/>
          <w:szCs w:val="24"/>
          <w:lang w:val="pl-PL"/>
        </w:rPr>
        <w:t xml:space="preserve"> r.</w:t>
      </w:r>
    </w:p>
    <w:p w14:paraId="2D5E1609" w14:textId="730D46DC" w:rsidR="007565BD" w:rsidRPr="006C449A" w:rsidRDefault="008A4AF3" w:rsidP="008B5040">
      <w:pPr>
        <w:spacing w:before="120" w:after="120" w:line="240" w:lineRule="auto"/>
        <w:ind w:left="-142"/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</w:pPr>
      <w:r w:rsidRPr="006C449A">
        <w:rPr>
          <w:rFonts w:ascii="Calibri Light" w:eastAsia="Alef" w:hAnsi="Calibri Light" w:cs="Calibri Light"/>
          <w:bCs/>
          <w:color w:val="002060"/>
          <w:sz w:val="20"/>
          <w:szCs w:val="20"/>
          <w:u w:val="single"/>
          <w:lang w:val="pl-PL"/>
        </w:rPr>
        <w:t>Prowadząc</w:t>
      </w:r>
      <w:r w:rsidR="006C449A">
        <w:rPr>
          <w:rFonts w:ascii="Calibri Light" w:eastAsia="Alef" w:hAnsi="Calibri Light" w:cs="Calibri Light"/>
          <w:bCs/>
          <w:color w:val="002060"/>
          <w:sz w:val="20"/>
          <w:szCs w:val="20"/>
          <w:u w:val="single"/>
          <w:lang w:val="pl-PL"/>
        </w:rPr>
        <w:t>e</w:t>
      </w:r>
      <w:r w:rsidRPr="006C449A"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  <w:t xml:space="preserve">: </w:t>
      </w:r>
    </w:p>
    <w:p w14:paraId="7CD79E49" w14:textId="77777777" w:rsidR="00982923" w:rsidRPr="006C449A" w:rsidRDefault="00982923" w:rsidP="00982923">
      <w:pPr>
        <w:spacing w:before="120" w:after="120" w:line="240" w:lineRule="auto"/>
        <w:ind w:left="-142"/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</w:pPr>
      <w:r w:rsidRPr="006C449A"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  <w:t xml:space="preserve">dr inż. </w:t>
      </w:r>
      <w:r w:rsidRPr="006C449A">
        <w:rPr>
          <w:rFonts w:ascii="Calibri Light" w:eastAsia="Alef" w:hAnsi="Calibri Light" w:cs="Calibri Light"/>
          <w:b/>
          <w:color w:val="002060"/>
          <w:sz w:val="20"/>
          <w:szCs w:val="20"/>
          <w:lang w:val="pl-PL"/>
        </w:rPr>
        <w:t>Jolanta Baran</w:t>
      </w:r>
      <w:r w:rsidRPr="006C449A"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  <w:t>, Politechnika Śląska, Pracownia ESG</w:t>
      </w:r>
    </w:p>
    <w:p w14:paraId="7B7B69A7" w14:textId="08231C70" w:rsidR="008B5040" w:rsidRPr="006C449A" w:rsidRDefault="007565BD" w:rsidP="00005901">
      <w:pPr>
        <w:spacing w:before="120" w:after="120" w:line="240" w:lineRule="auto"/>
        <w:ind w:left="-142"/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</w:pPr>
      <w:r w:rsidRPr="006C449A"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  <w:t xml:space="preserve">adw. </w:t>
      </w:r>
      <w:r w:rsidRPr="006C449A">
        <w:rPr>
          <w:rFonts w:ascii="Calibri Light" w:eastAsia="Alef" w:hAnsi="Calibri Light" w:cs="Calibri Light"/>
          <w:b/>
          <w:color w:val="002060"/>
          <w:sz w:val="20"/>
          <w:szCs w:val="20"/>
          <w:lang w:val="pl-PL"/>
        </w:rPr>
        <w:t>Patrycja Wysocka</w:t>
      </w:r>
      <w:r w:rsidRPr="006C449A">
        <w:rPr>
          <w:rFonts w:ascii="Calibri Light" w:eastAsia="Alef" w:hAnsi="Calibri Light" w:cs="Calibri Light"/>
          <w:bCs/>
          <w:color w:val="002060"/>
          <w:sz w:val="20"/>
          <w:szCs w:val="20"/>
          <w:lang w:val="pl-PL"/>
        </w:rPr>
        <w:t>, Kubas Kos Gałkowski</w:t>
      </w: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7805"/>
      </w:tblGrid>
      <w:tr w:rsidR="006C449A" w:rsidRPr="006C449A" w14:paraId="278439C8" w14:textId="77777777" w:rsidTr="00255031">
        <w:trPr>
          <w:trHeight w:val="155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2C5E2F11" w:rsidR="00760565" w:rsidRPr="006C449A" w:rsidRDefault="00C23D1C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8</w:t>
            </w:r>
            <w:r w:rsidR="00760565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:30 – 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9:00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0D17336E" w:rsidR="00760565" w:rsidRPr="006C449A" w:rsidRDefault="008A4AF3" w:rsidP="00994172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Logowanie uczestników</w:t>
            </w:r>
          </w:p>
        </w:tc>
      </w:tr>
      <w:tr w:rsidR="006C449A" w:rsidRPr="006C449A" w14:paraId="4DDE5BDB" w14:textId="77777777" w:rsidTr="00255031">
        <w:trPr>
          <w:trHeight w:val="42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648D" w14:textId="16357817" w:rsidR="001727F0" w:rsidRPr="006C449A" w:rsidRDefault="00C23D1C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9</w:t>
            </w:r>
            <w:r w:rsidR="001727F0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:00 – 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9</w:t>
            </w:r>
            <w:r w:rsidR="001727F0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A98" w14:textId="77777777" w:rsidR="001727F0" w:rsidRPr="006C449A" w:rsidRDefault="001727F0" w:rsidP="00994172">
            <w:pPr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  <w:t>Powitanie</w:t>
            </w:r>
          </w:p>
          <w:p w14:paraId="5FE77773" w14:textId="2A2F4AE1" w:rsidR="001727F0" w:rsidRPr="006C449A" w:rsidRDefault="001727F0" w:rsidP="00C4055C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dr Anna Oborska, dyrektor generalny, wiceprezes</w:t>
            </w:r>
            <w:r w:rsidR="00C4055C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PSPKD</w:t>
            </w:r>
          </w:p>
        </w:tc>
      </w:tr>
      <w:tr w:rsidR="00FC5A69" w:rsidRPr="006B2015" w14:paraId="56D08F03" w14:textId="77777777" w:rsidTr="00C23D1C">
        <w:trPr>
          <w:trHeight w:val="53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60302AAD" w:rsidR="00760565" w:rsidRPr="00330B93" w:rsidRDefault="00C23D1C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9</w:t>
            </w:r>
            <w:r w:rsidR="0076056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1727F0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</w:t>
            </w: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="0076056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</w:t>
            </w: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9</w:t>
            </w:r>
            <w:r w:rsidR="0076056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6B201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30986" w14:textId="6FE10B82" w:rsidR="00982923" w:rsidRPr="00330B93" w:rsidRDefault="00982923" w:rsidP="00C23D1C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330B93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  <w:t>CZĘŚĆ I - LEGISLACYJNA:</w:t>
            </w: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</w:t>
            </w:r>
          </w:p>
          <w:p w14:paraId="79791678" w14:textId="7208B4F5" w:rsidR="00C23D1C" w:rsidRPr="00330B93" w:rsidRDefault="00C23D1C" w:rsidP="00C23D1C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Wymagania prawne w zakresie raportowania niefinansowego przedsiębiorstw</w:t>
            </w:r>
          </w:p>
          <w:p w14:paraId="211FAA2F" w14:textId="04BA486C" w:rsidR="00C43CF0" w:rsidRPr="00330B93" w:rsidRDefault="00C23D1C" w:rsidP="00C23D1C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adw. Patrycja Wysocka, Kubas Kos Gałkowski</w:t>
            </w:r>
          </w:p>
        </w:tc>
      </w:tr>
      <w:tr w:rsidR="00FC5A69" w:rsidRPr="006B2015" w14:paraId="4D0F25EE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9A100" w14:textId="4E6CF3BD" w:rsidR="00760565" w:rsidRPr="00330B93" w:rsidRDefault="00C23D1C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9</w:t>
            </w:r>
            <w:r w:rsidR="0076056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6B201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76056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</w:t>
            </w: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10</w:t>
            </w:r>
            <w:r w:rsidR="00760565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255031"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3437" w14:textId="2643F17D" w:rsidR="00760565" w:rsidRPr="00330B93" w:rsidRDefault="00066F51" w:rsidP="00D9333B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330B93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Pytania i dyskusja</w:t>
            </w:r>
          </w:p>
        </w:tc>
      </w:tr>
      <w:tr w:rsidR="00982923" w:rsidRPr="006B2015" w14:paraId="09683A86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9A5AD" w14:textId="77777777" w:rsidR="00982923" w:rsidRDefault="00982923" w:rsidP="00994172">
            <w:pPr>
              <w:jc w:val="center"/>
              <w:rPr>
                <w:rFonts w:ascii="Calibri Light" w:hAnsi="Calibri Light" w:cs="Calibri Light"/>
                <w:color w:val="3F2B73"/>
                <w:sz w:val="18"/>
                <w:szCs w:val="18"/>
                <w:lang w:val="pl-PL"/>
              </w:rPr>
            </w:pP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BBE20" w14:textId="77777777" w:rsidR="00982923" w:rsidRPr="006C449A" w:rsidRDefault="00982923" w:rsidP="00D9333B">
            <w:pPr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  <w:t>CZĘŚĆ II – PRAKTYCZNA:</w:t>
            </w:r>
          </w:p>
          <w:p w14:paraId="03059D17" w14:textId="02DC0709" w:rsidR="00982923" w:rsidRPr="006C449A" w:rsidRDefault="00982923" w:rsidP="00D9333B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dr inż. Jolanta Baran, Politechnika Śląska, Pracownia ESG</w:t>
            </w:r>
          </w:p>
        </w:tc>
      </w:tr>
      <w:tr w:rsidR="00982923" w:rsidRPr="006B2015" w14:paraId="1C4C8DAD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E7EA9" w14:textId="0150CD56" w:rsidR="00982923" w:rsidRPr="006C449A" w:rsidRDefault="00005901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10: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10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11: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B5807" w14:textId="042A52F9" w:rsidR="00005901" w:rsidRPr="006C449A" w:rsidRDefault="00005901" w:rsidP="00005901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WPROWADZENIE DO RAPORTOWANIA ESG</w:t>
            </w:r>
          </w:p>
          <w:p w14:paraId="264E9F6A" w14:textId="2091F134" w:rsidR="00005901" w:rsidRPr="006C449A" w:rsidRDefault="00C0060E" w:rsidP="00005901">
            <w:pPr>
              <w:pStyle w:val="Akapitzlist"/>
              <w:numPr>
                <w:ilvl w:val="0"/>
                <w:numId w:val="30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R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aportowanie zgodne ze standardami ESRS oraz GRI – zasady i struktura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  <w:p w14:paraId="52421E08" w14:textId="19DF0C1E" w:rsidR="00005901" w:rsidRPr="006C449A" w:rsidRDefault="00C0060E" w:rsidP="00005901">
            <w:pPr>
              <w:pStyle w:val="Akapitzlist"/>
              <w:numPr>
                <w:ilvl w:val="0"/>
                <w:numId w:val="30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O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mówienie podstawowych wymogów standardów z obszaru E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  <w:p w14:paraId="599DF854" w14:textId="7FDF0676" w:rsidR="00982923" w:rsidRPr="006C449A" w:rsidRDefault="00C0060E" w:rsidP="00005901">
            <w:pPr>
              <w:pStyle w:val="Akapitzlist"/>
              <w:numPr>
                <w:ilvl w:val="0"/>
                <w:numId w:val="30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O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mówienie podstawowych wymogów standardów z obszaru S i G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</w:tc>
      </w:tr>
      <w:tr w:rsidR="00FC5A69" w:rsidRPr="006B2015" w14:paraId="1E18B28D" w14:textId="77777777" w:rsidTr="00D9333B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5F995903" w:rsidR="00760565" w:rsidRPr="006C449A" w:rsidRDefault="00C608D9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11: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40</w:t>
            </w:r>
            <w:r w:rsidR="00760565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</w:t>
            </w:r>
            <w:r w:rsidR="00AD57C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2</w:t>
            </w:r>
            <w:r w:rsidR="00760565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DD632" w14:textId="52EDA3C1" w:rsidR="00982923" w:rsidRPr="006C449A" w:rsidRDefault="00982923" w:rsidP="00982923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en-AU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en-AU"/>
              </w:rPr>
              <w:t>ŚLAD WĘGLOWY ORGANIZACJI – SCOPE 1, 2, 3 oraz outside of scopes</w:t>
            </w:r>
          </w:p>
          <w:p w14:paraId="01C7262D" w14:textId="3EC53376" w:rsidR="00982923" w:rsidRPr="006C449A" w:rsidRDefault="00C0060E" w:rsidP="00982923">
            <w:pPr>
              <w:pStyle w:val="Akapitzlist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O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gólne zasady i metodyka obliczeń wielkości emisji bezpośrednich, pośrednich „energetycznych” oraz pozostałych emisji pośrednich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.</w:t>
            </w:r>
          </w:p>
          <w:p w14:paraId="78C7A52D" w14:textId="6711591C" w:rsidR="00A10BB9" w:rsidRPr="006C449A" w:rsidRDefault="00C0060E" w:rsidP="00982923">
            <w:pPr>
              <w:pStyle w:val="Akapitzlist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W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skaźniki emisji gazów cieplarnianych z baz danych Defra, KOBIZE oraz z innych źródeł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.</w:t>
            </w:r>
          </w:p>
        </w:tc>
      </w:tr>
      <w:tr w:rsidR="00FC5A69" w:rsidRPr="006B2015" w14:paraId="252E6A87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0756715F" w:rsidR="00760565" w:rsidRPr="006C449A" w:rsidRDefault="00760565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2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9F4BD4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13: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86BF1" w14:textId="4D6B7F97" w:rsidR="00982923" w:rsidRPr="006C449A" w:rsidRDefault="00982923" w:rsidP="00982923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PRZYKŁAD OBLICZANIA ŚLADU WĘGLOWEGO DLA ORGANIZACJI</w:t>
            </w:r>
          </w:p>
          <w:p w14:paraId="0CAEB3A5" w14:textId="485EC8CF" w:rsidR="00760565" w:rsidRPr="006C449A" w:rsidRDefault="00C0060E" w:rsidP="00982923">
            <w:pPr>
              <w:pStyle w:val="Akapitzlist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W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arsztat – obliczenia wielkości emisji w wybranych kategoriach zakresów 1, 2 i 3 dla organizacji z branży kosmetycznej i detergentowej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</w:tc>
      </w:tr>
      <w:tr w:rsidR="00982923" w:rsidRPr="006B2015" w14:paraId="7FBB48AB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A0094C" w14:textId="09DC9B18" w:rsidR="00982923" w:rsidRPr="006C449A" w:rsidRDefault="00982923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13: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1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1A6DD" w14:textId="7FB779F1" w:rsidR="00982923" w:rsidRPr="006C449A" w:rsidRDefault="00982923" w:rsidP="00982923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Przerwa</w:t>
            </w:r>
          </w:p>
        </w:tc>
      </w:tr>
      <w:tr w:rsidR="001A73D1" w:rsidRPr="006B2015" w14:paraId="2C541BED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43B9D" w14:textId="73C960B0" w:rsidR="001A73D1" w:rsidRPr="006C449A" w:rsidRDefault="001A73D1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15: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21AFB" w14:textId="74CA4EA0" w:rsidR="00982923" w:rsidRPr="006C449A" w:rsidRDefault="00982923" w:rsidP="00982923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WPROWADZENIE DO LCA I ŚLADU WĘGLOWEGO</w:t>
            </w:r>
          </w:p>
          <w:p w14:paraId="3371EA26" w14:textId="4B4312BB" w:rsidR="00982923" w:rsidRPr="006C449A" w:rsidRDefault="00C0060E" w:rsidP="00982923">
            <w:pPr>
              <w:pStyle w:val="Akapitzlist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P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odstawowe zagadnienia oraz standardy dotyczące analiz LCA i śladu węglowego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  <w:p w14:paraId="34307AEA" w14:textId="31CEB38B" w:rsidR="00982923" w:rsidRPr="006C449A" w:rsidRDefault="00C0060E" w:rsidP="00982923">
            <w:pPr>
              <w:pStyle w:val="Akapitzlist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E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tapy LCA – określenie celu i zakresu, inwentaryzacja danych LCI, analiza wpływu cyklu życia LCIA, interpretacja wyników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  <w:p w14:paraId="4A2FF197" w14:textId="1475235B" w:rsidR="001A73D1" w:rsidRPr="006C449A" w:rsidRDefault="00C0060E" w:rsidP="00982923">
            <w:pPr>
              <w:pStyle w:val="Akapitzlist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P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rzykłady analiz LCA i śladu węglowego dla produktów kosmetycznych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.</w:t>
            </w:r>
          </w:p>
        </w:tc>
      </w:tr>
      <w:tr w:rsidR="00FC5A69" w:rsidRPr="006B2015" w14:paraId="5F939CA0" w14:textId="77777777" w:rsidTr="00D9333B">
        <w:trPr>
          <w:trHeight w:val="75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1AD966AC" w:rsidR="00760565" w:rsidRPr="006C449A" w:rsidRDefault="00982923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15: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="00760565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1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760565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2DA4F" w14:textId="6A69F0C7" w:rsidR="00982923" w:rsidRPr="006C449A" w:rsidRDefault="00982923" w:rsidP="00982923">
            <w:pPr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WYBRANE PRAKTYCZNE ASPEKTY OBLICZANIA I KOMUNIKOWANIA ŚLADU WĘGLOWEGO</w:t>
            </w:r>
          </w:p>
          <w:p w14:paraId="4EB2D915" w14:textId="02F5C194" w:rsidR="00982923" w:rsidRPr="006C449A" w:rsidRDefault="00C0060E" w:rsidP="009F4BD4">
            <w:pPr>
              <w:pStyle w:val="Akapitzlist"/>
              <w:numPr>
                <w:ilvl w:val="0"/>
                <w:numId w:val="26"/>
              </w:numPr>
              <w:ind w:left="704" w:hanging="344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A</w:t>
            </w:r>
            <w:r w:rsidR="00982923"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testacja danych niefinansowych – wymagania standardów ISO 14064-3, ISAE 3410.</w:t>
            </w:r>
          </w:p>
          <w:p w14:paraId="190452E8" w14:textId="77777777" w:rsidR="00982923" w:rsidRPr="006C449A" w:rsidRDefault="00982923" w:rsidP="009F4BD4">
            <w:pPr>
              <w:pStyle w:val="Akapitzlist"/>
              <w:numPr>
                <w:ilvl w:val="0"/>
                <w:numId w:val="26"/>
              </w:numPr>
              <w:ind w:left="704" w:hanging="344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Wybrane wytyczne branżowe, w tym SASB Household &amp; Personal Products Standard.</w:t>
            </w:r>
          </w:p>
          <w:p w14:paraId="0C0965D0" w14:textId="290FED4F" w:rsidR="00A10BB9" w:rsidRPr="006C449A" w:rsidRDefault="00982923" w:rsidP="009F4BD4">
            <w:pPr>
              <w:pStyle w:val="Akapitzlist"/>
              <w:numPr>
                <w:ilvl w:val="0"/>
                <w:numId w:val="26"/>
              </w:numPr>
              <w:ind w:left="704" w:hanging="344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 xml:space="preserve">Greenwashing 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–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 xml:space="preserve"> znaczenie i zagrożenia z nim związane</w:t>
            </w:r>
            <w:r w:rsidR="00C0060E" w:rsidRPr="006C449A">
              <w:rPr>
                <w:rFonts w:ascii="Calibri Light" w:hAnsi="Calibri Light" w:cs="Calibri Light"/>
                <w:color w:val="002060"/>
                <w:sz w:val="18"/>
                <w:szCs w:val="18"/>
              </w:rPr>
              <w:t>.</w:t>
            </w:r>
          </w:p>
        </w:tc>
      </w:tr>
      <w:tr w:rsidR="00FC5A69" w:rsidRPr="006B2015" w14:paraId="56E97DDC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4E4EF0C3" w:rsidR="00760565" w:rsidRPr="006C449A" w:rsidRDefault="00760565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3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1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0E569EC4" w:rsidR="00760565" w:rsidRPr="006C449A" w:rsidRDefault="00D9333B" w:rsidP="00994172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Pytania i dyskusja</w:t>
            </w:r>
          </w:p>
        </w:tc>
      </w:tr>
      <w:tr w:rsidR="00FC5A69" w:rsidRPr="006B2015" w14:paraId="7914532B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65B1C716" w:rsidR="00760565" w:rsidRPr="006C449A" w:rsidRDefault="00D9333B" w:rsidP="00994172">
            <w:pPr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1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25503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5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 xml:space="preserve"> – 1</w:t>
            </w:r>
            <w:r w:rsidR="00C75492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6</w:t>
            </w:r>
            <w:r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:</w:t>
            </w:r>
            <w:r w:rsidR="00005901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  <w:r w:rsidR="003503EB" w:rsidRPr="006C449A"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531721E5" w:rsidR="00760565" w:rsidRPr="006C449A" w:rsidRDefault="00D9333B" w:rsidP="00994172">
            <w:pPr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  <w:r w:rsidRPr="006C449A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  <w:t>Podsumowanie i z</w:t>
            </w:r>
            <w:r w:rsidR="00760565" w:rsidRPr="006C449A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lang w:val="pl-PL"/>
              </w:rPr>
              <w:t>akończenie</w:t>
            </w:r>
          </w:p>
        </w:tc>
      </w:tr>
    </w:tbl>
    <w:p w14:paraId="4295A537" w14:textId="7E2734AE" w:rsidR="00A10BB9" w:rsidRPr="006B2015" w:rsidRDefault="00A10BB9" w:rsidP="00B01A5C">
      <w:pPr>
        <w:rPr>
          <w:rFonts w:ascii="Calibri Light" w:hAnsi="Calibri Light" w:cs="Calibri Light"/>
          <w:color w:val="3D2F73"/>
          <w:sz w:val="20"/>
          <w:szCs w:val="20"/>
        </w:rPr>
      </w:pPr>
    </w:p>
    <w:sectPr w:rsidR="00A10BB9" w:rsidRPr="006B201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043D" w14:textId="77777777" w:rsidR="007554BA" w:rsidRDefault="007554BA">
      <w:pPr>
        <w:spacing w:line="240" w:lineRule="auto"/>
      </w:pPr>
      <w:r>
        <w:separator/>
      </w:r>
    </w:p>
  </w:endnote>
  <w:endnote w:type="continuationSeparator" w:id="0">
    <w:p w14:paraId="1B88B80E" w14:textId="77777777" w:rsidR="007554BA" w:rsidRDefault="0075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C908" w14:textId="77777777" w:rsidR="007554BA" w:rsidRDefault="007554BA">
      <w:pPr>
        <w:spacing w:line="240" w:lineRule="auto"/>
      </w:pPr>
      <w:r>
        <w:separator/>
      </w:r>
    </w:p>
  </w:footnote>
  <w:footnote w:type="continuationSeparator" w:id="0">
    <w:p w14:paraId="53E0B904" w14:textId="77777777" w:rsidR="007554BA" w:rsidRDefault="0075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461"/>
    <w:multiLevelType w:val="hybridMultilevel"/>
    <w:tmpl w:val="E8908000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01C49"/>
    <w:multiLevelType w:val="hybridMultilevel"/>
    <w:tmpl w:val="A5902806"/>
    <w:lvl w:ilvl="0" w:tplc="42484036">
      <w:numFmt w:val="bullet"/>
      <w:lvlText w:val="-"/>
      <w:lvlJc w:val="left"/>
      <w:pPr>
        <w:ind w:left="72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B2248"/>
    <w:multiLevelType w:val="hybridMultilevel"/>
    <w:tmpl w:val="A614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1EAC5D20"/>
    <w:multiLevelType w:val="hybridMultilevel"/>
    <w:tmpl w:val="2B441B54"/>
    <w:lvl w:ilvl="0" w:tplc="8466ACC8">
      <w:start w:val="24"/>
      <w:numFmt w:val="bullet"/>
      <w:lvlText w:val="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E150BD"/>
    <w:multiLevelType w:val="hybridMultilevel"/>
    <w:tmpl w:val="7600635A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5FB1"/>
    <w:multiLevelType w:val="hybridMultilevel"/>
    <w:tmpl w:val="9AD67316"/>
    <w:lvl w:ilvl="0" w:tplc="23443F94">
      <w:numFmt w:val="bullet"/>
      <w:lvlText w:val="-"/>
      <w:lvlJc w:val="left"/>
      <w:pPr>
        <w:ind w:left="1080" w:hanging="72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6772F"/>
    <w:multiLevelType w:val="hybridMultilevel"/>
    <w:tmpl w:val="26BA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3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4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5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5CB3"/>
    <w:multiLevelType w:val="hybridMultilevel"/>
    <w:tmpl w:val="0B02B148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B1737ED"/>
    <w:multiLevelType w:val="hybridMultilevel"/>
    <w:tmpl w:val="979E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300AA"/>
    <w:multiLevelType w:val="hybridMultilevel"/>
    <w:tmpl w:val="3872ED6A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875B4"/>
    <w:multiLevelType w:val="hybridMultilevel"/>
    <w:tmpl w:val="81F4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4FF1"/>
    <w:multiLevelType w:val="hybridMultilevel"/>
    <w:tmpl w:val="82E6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2240B4"/>
    <w:multiLevelType w:val="hybridMultilevel"/>
    <w:tmpl w:val="69F207E8"/>
    <w:lvl w:ilvl="0" w:tplc="FFFFFFFF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F87897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D65B09"/>
    <w:multiLevelType w:val="hybridMultilevel"/>
    <w:tmpl w:val="7CBA6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516BD6"/>
    <w:multiLevelType w:val="hybridMultilevel"/>
    <w:tmpl w:val="62ACF22E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42484036">
      <w:numFmt w:val="bullet"/>
      <w:lvlText w:val="-"/>
      <w:lvlJc w:val="left"/>
      <w:pPr>
        <w:ind w:left="1080" w:hanging="360"/>
      </w:pPr>
      <w:rPr>
        <w:rFonts w:ascii="Alef" w:eastAsia="Arial" w:hAnsi="Alef" w:cs="Alef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6213">
    <w:abstractNumId w:val="6"/>
  </w:num>
  <w:num w:numId="2" w16cid:durableId="392506848">
    <w:abstractNumId w:val="13"/>
  </w:num>
  <w:num w:numId="3" w16cid:durableId="1113522352">
    <w:abstractNumId w:val="29"/>
  </w:num>
  <w:num w:numId="4" w16cid:durableId="1996690213">
    <w:abstractNumId w:val="3"/>
  </w:num>
  <w:num w:numId="5" w16cid:durableId="2116946555">
    <w:abstractNumId w:val="15"/>
  </w:num>
  <w:num w:numId="6" w16cid:durableId="14235119">
    <w:abstractNumId w:val="4"/>
  </w:num>
  <w:num w:numId="7" w16cid:durableId="1494561029">
    <w:abstractNumId w:val="8"/>
  </w:num>
  <w:num w:numId="8" w16cid:durableId="1481968078">
    <w:abstractNumId w:val="27"/>
  </w:num>
  <w:num w:numId="9" w16cid:durableId="857964397">
    <w:abstractNumId w:val="24"/>
  </w:num>
  <w:num w:numId="10" w16cid:durableId="2021352355">
    <w:abstractNumId w:val="21"/>
  </w:num>
  <w:num w:numId="11" w16cid:durableId="15617565">
    <w:abstractNumId w:val="1"/>
  </w:num>
  <w:num w:numId="12" w16cid:durableId="763648486">
    <w:abstractNumId w:val="23"/>
  </w:num>
  <w:num w:numId="13" w16cid:durableId="800731135">
    <w:abstractNumId w:val="9"/>
  </w:num>
  <w:num w:numId="14" w16cid:durableId="891506056">
    <w:abstractNumId w:val="22"/>
  </w:num>
  <w:num w:numId="15" w16cid:durableId="1685201841">
    <w:abstractNumId w:val="14"/>
  </w:num>
  <w:num w:numId="16" w16cid:durableId="2022390149">
    <w:abstractNumId w:val="12"/>
  </w:num>
  <w:num w:numId="17" w16cid:durableId="322200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002187">
    <w:abstractNumId w:val="28"/>
  </w:num>
  <w:num w:numId="19" w16cid:durableId="675764693">
    <w:abstractNumId w:val="2"/>
  </w:num>
  <w:num w:numId="20" w16cid:durableId="765156333">
    <w:abstractNumId w:val="18"/>
  </w:num>
  <w:num w:numId="21" w16cid:durableId="1906069480">
    <w:abstractNumId w:val="25"/>
  </w:num>
  <w:num w:numId="22" w16cid:durableId="1918175426">
    <w:abstractNumId w:val="16"/>
  </w:num>
  <w:num w:numId="23" w16cid:durableId="1537043771">
    <w:abstractNumId w:val="7"/>
  </w:num>
  <w:num w:numId="24" w16cid:durableId="1121606437">
    <w:abstractNumId w:val="17"/>
  </w:num>
  <w:num w:numId="25" w16cid:durableId="725379632">
    <w:abstractNumId w:val="10"/>
  </w:num>
  <w:num w:numId="26" w16cid:durableId="144201670">
    <w:abstractNumId w:val="0"/>
  </w:num>
  <w:num w:numId="27" w16cid:durableId="519658721">
    <w:abstractNumId w:val="20"/>
  </w:num>
  <w:num w:numId="28" w16cid:durableId="573860800">
    <w:abstractNumId w:val="26"/>
  </w:num>
  <w:num w:numId="29" w16cid:durableId="1687367488">
    <w:abstractNumId w:val="19"/>
  </w:num>
  <w:num w:numId="30" w16cid:durableId="698969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05901"/>
    <w:rsid w:val="00066F51"/>
    <w:rsid w:val="00077AD6"/>
    <w:rsid w:val="000911F2"/>
    <w:rsid w:val="00097B9D"/>
    <w:rsid w:val="000E7C2D"/>
    <w:rsid w:val="00106068"/>
    <w:rsid w:val="0012599C"/>
    <w:rsid w:val="001727F0"/>
    <w:rsid w:val="001774FC"/>
    <w:rsid w:val="00182A72"/>
    <w:rsid w:val="0019392A"/>
    <w:rsid w:val="001978B2"/>
    <w:rsid w:val="00197DF8"/>
    <w:rsid w:val="001A73D1"/>
    <w:rsid w:val="001A7539"/>
    <w:rsid w:val="001D2A61"/>
    <w:rsid w:val="00255031"/>
    <w:rsid w:val="00280A8E"/>
    <w:rsid w:val="00294E6E"/>
    <w:rsid w:val="002A2B0D"/>
    <w:rsid w:val="002A7959"/>
    <w:rsid w:val="002B633F"/>
    <w:rsid w:val="002B7713"/>
    <w:rsid w:val="002C40EE"/>
    <w:rsid w:val="002D4A84"/>
    <w:rsid w:val="002D7E2C"/>
    <w:rsid w:val="00301FB9"/>
    <w:rsid w:val="003170AD"/>
    <w:rsid w:val="00317FDD"/>
    <w:rsid w:val="00330B93"/>
    <w:rsid w:val="00342830"/>
    <w:rsid w:val="003503EB"/>
    <w:rsid w:val="00394E97"/>
    <w:rsid w:val="003B6F66"/>
    <w:rsid w:val="003E0519"/>
    <w:rsid w:val="003F7441"/>
    <w:rsid w:val="00400848"/>
    <w:rsid w:val="00445721"/>
    <w:rsid w:val="00466168"/>
    <w:rsid w:val="00480F4D"/>
    <w:rsid w:val="00481688"/>
    <w:rsid w:val="004908E4"/>
    <w:rsid w:val="004A6FC1"/>
    <w:rsid w:val="005319D8"/>
    <w:rsid w:val="005A58AE"/>
    <w:rsid w:val="005B5F6E"/>
    <w:rsid w:val="00613CC2"/>
    <w:rsid w:val="006237DF"/>
    <w:rsid w:val="00632157"/>
    <w:rsid w:val="00640D28"/>
    <w:rsid w:val="00651EE2"/>
    <w:rsid w:val="00656F30"/>
    <w:rsid w:val="006866F7"/>
    <w:rsid w:val="006B2015"/>
    <w:rsid w:val="006B274D"/>
    <w:rsid w:val="006C449A"/>
    <w:rsid w:val="006D1B29"/>
    <w:rsid w:val="006D6D4B"/>
    <w:rsid w:val="006E42F1"/>
    <w:rsid w:val="0073231C"/>
    <w:rsid w:val="007554BA"/>
    <w:rsid w:val="007565BD"/>
    <w:rsid w:val="00760565"/>
    <w:rsid w:val="00760C0F"/>
    <w:rsid w:val="007814B9"/>
    <w:rsid w:val="007E11F5"/>
    <w:rsid w:val="007F1E9D"/>
    <w:rsid w:val="00805B04"/>
    <w:rsid w:val="008176CC"/>
    <w:rsid w:val="008356DC"/>
    <w:rsid w:val="0084625A"/>
    <w:rsid w:val="008615AC"/>
    <w:rsid w:val="008742DD"/>
    <w:rsid w:val="00895F07"/>
    <w:rsid w:val="008A3F64"/>
    <w:rsid w:val="008A4AF3"/>
    <w:rsid w:val="008B5040"/>
    <w:rsid w:val="008B63F7"/>
    <w:rsid w:val="008C34CB"/>
    <w:rsid w:val="00920927"/>
    <w:rsid w:val="00960E8D"/>
    <w:rsid w:val="0097000D"/>
    <w:rsid w:val="00972082"/>
    <w:rsid w:val="00982923"/>
    <w:rsid w:val="009848E1"/>
    <w:rsid w:val="009A2F81"/>
    <w:rsid w:val="009D05DE"/>
    <w:rsid w:val="009D470F"/>
    <w:rsid w:val="009F1065"/>
    <w:rsid w:val="009F4BD4"/>
    <w:rsid w:val="00A01667"/>
    <w:rsid w:val="00A10BB9"/>
    <w:rsid w:val="00A548D9"/>
    <w:rsid w:val="00AA5DB3"/>
    <w:rsid w:val="00AC4F0D"/>
    <w:rsid w:val="00AD57C1"/>
    <w:rsid w:val="00B01A5C"/>
    <w:rsid w:val="00B03285"/>
    <w:rsid w:val="00B103E3"/>
    <w:rsid w:val="00B2005E"/>
    <w:rsid w:val="00B31DD8"/>
    <w:rsid w:val="00B322ED"/>
    <w:rsid w:val="00B46A69"/>
    <w:rsid w:val="00C0060E"/>
    <w:rsid w:val="00C23D1C"/>
    <w:rsid w:val="00C4055C"/>
    <w:rsid w:val="00C43CF0"/>
    <w:rsid w:val="00C54F3A"/>
    <w:rsid w:val="00C608D9"/>
    <w:rsid w:val="00C6171C"/>
    <w:rsid w:val="00C75492"/>
    <w:rsid w:val="00C848B6"/>
    <w:rsid w:val="00C857AD"/>
    <w:rsid w:val="00C97BE7"/>
    <w:rsid w:val="00CB22E8"/>
    <w:rsid w:val="00D06F6F"/>
    <w:rsid w:val="00D50854"/>
    <w:rsid w:val="00D740D6"/>
    <w:rsid w:val="00D820C4"/>
    <w:rsid w:val="00D82DD6"/>
    <w:rsid w:val="00D85851"/>
    <w:rsid w:val="00D904A5"/>
    <w:rsid w:val="00D9333B"/>
    <w:rsid w:val="00DE47C7"/>
    <w:rsid w:val="00E20479"/>
    <w:rsid w:val="00E21937"/>
    <w:rsid w:val="00E30DD2"/>
    <w:rsid w:val="00E67816"/>
    <w:rsid w:val="00E915DA"/>
    <w:rsid w:val="00EF1B58"/>
    <w:rsid w:val="00EF5D4D"/>
    <w:rsid w:val="00F02691"/>
    <w:rsid w:val="00F0665A"/>
    <w:rsid w:val="00F47FBB"/>
    <w:rsid w:val="00F60B20"/>
    <w:rsid w:val="00F80486"/>
    <w:rsid w:val="00FB603E"/>
    <w:rsid w:val="00FC3699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  <w:style w:type="character" w:customStyle="1" w:styleId="js-update-components-actoravatar">
    <w:name w:val="js-update-components-actor__avatar"/>
    <w:basedOn w:val="Domylnaczcionkaakapitu"/>
    <w:rsid w:val="006B2015"/>
  </w:style>
  <w:style w:type="character" w:customStyle="1" w:styleId="update-components-actorname">
    <w:name w:val="update-components-actor__name"/>
    <w:basedOn w:val="Domylnaczcionkaakapitu"/>
    <w:rsid w:val="006B2015"/>
  </w:style>
  <w:style w:type="character" w:customStyle="1" w:styleId="visually-hidden">
    <w:name w:val="visually-hidden"/>
    <w:basedOn w:val="Domylnaczcionkaakapitu"/>
    <w:rsid w:val="006B2015"/>
  </w:style>
  <w:style w:type="character" w:customStyle="1" w:styleId="update-components-actordescription">
    <w:name w:val="update-components-actor__description"/>
    <w:basedOn w:val="Domylnaczcionkaakapitu"/>
    <w:rsid w:val="006B2015"/>
  </w:style>
  <w:style w:type="character" w:customStyle="1" w:styleId="update-components-actorsub-description">
    <w:name w:val="update-components-actor__sub-description"/>
    <w:basedOn w:val="Domylnaczcionkaakapitu"/>
    <w:rsid w:val="006B2015"/>
  </w:style>
  <w:style w:type="character" w:customStyle="1" w:styleId="white-space-pre">
    <w:name w:val="white-space-pre"/>
    <w:basedOn w:val="Domylnaczcionkaakapitu"/>
    <w:rsid w:val="006B2015"/>
  </w:style>
  <w:style w:type="character" w:customStyle="1" w:styleId="break-words">
    <w:name w:val="break-words"/>
    <w:basedOn w:val="Domylnaczcionkaakapitu"/>
    <w:rsid w:val="006B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PSPKD</cp:lastModifiedBy>
  <cp:revision>7</cp:revision>
  <cp:lastPrinted>2020-08-25T12:10:00Z</cp:lastPrinted>
  <dcterms:created xsi:type="dcterms:W3CDTF">2024-01-05T07:50:00Z</dcterms:created>
  <dcterms:modified xsi:type="dcterms:W3CDTF">2024-01-08T07:22:00Z</dcterms:modified>
</cp:coreProperties>
</file>