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D202D" w14:textId="77777777" w:rsidR="00CF322C" w:rsidRPr="00B46AC9" w:rsidRDefault="00341E3D" w:rsidP="00704D6A">
      <w:pPr>
        <w:pStyle w:val="NoteHead"/>
        <w:spacing w:before="0" w:after="0"/>
      </w:pPr>
      <w:r w:rsidRPr="00B46AC9">
        <w:t xml:space="preserve">DRAFT THOUGHT STARTER FOR A BIOCIDES CA NOTE ON </w:t>
      </w:r>
    </w:p>
    <w:p w14:paraId="60D288A0" w14:textId="0AF722C2" w:rsidR="00704D6A" w:rsidRPr="00B46AC9" w:rsidRDefault="00341E3D" w:rsidP="00704D6A">
      <w:pPr>
        <w:pStyle w:val="NoteHead"/>
        <w:spacing w:before="0" w:after="0"/>
      </w:pPr>
      <w:r w:rsidRPr="00B46AC9">
        <w:t xml:space="preserve">HARMONISED IMPLEMENTATION OF ARTICLE 55(1) OF THE </w:t>
      </w:r>
      <w:proofErr w:type="spellStart"/>
      <w:r w:rsidRPr="00B46AC9">
        <w:t>BPR</w:t>
      </w:r>
      <w:proofErr w:type="spellEnd"/>
    </w:p>
    <w:p w14:paraId="5AA672BC" w14:textId="77777777" w:rsidR="00704D6A" w:rsidRPr="00B46AC9" w:rsidRDefault="00704D6A" w:rsidP="00704D6A">
      <w:pPr>
        <w:pStyle w:val="NoteHead"/>
        <w:spacing w:before="0" w:after="0"/>
      </w:pPr>
    </w:p>
    <w:p w14:paraId="3D036B99" w14:textId="77777777" w:rsidR="00341E3D" w:rsidRPr="00B46AC9" w:rsidRDefault="00341E3D" w:rsidP="00341E3D">
      <w:pPr>
        <w:rPr>
          <w:lang w:eastAsia="en-US"/>
        </w:rPr>
      </w:pPr>
    </w:p>
    <w:p w14:paraId="54AE44A6" w14:textId="04475C3F" w:rsidR="00696FFE" w:rsidRPr="00B46AC9" w:rsidRDefault="009976A3" w:rsidP="00603755">
      <w:pPr>
        <w:tabs>
          <w:tab w:val="left" w:pos="993"/>
        </w:tabs>
        <w:spacing w:after="160" w:line="259" w:lineRule="auto"/>
        <w:ind w:left="993" w:hanging="993"/>
        <w:jc w:val="left"/>
        <w:rPr>
          <w:rFonts w:eastAsiaTheme="minorHAnsi"/>
          <w:b/>
          <w:szCs w:val="24"/>
          <w:lang w:eastAsia="en-US"/>
        </w:rPr>
      </w:pPr>
      <w:r w:rsidRPr="00B46AC9">
        <w:rPr>
          <w:rFonts w:eastAsiaTheme="minorHAnsi"/>
          <w:b/>
          <w:szCs w:val="24"/>
          <w:lang w:eastAsia="en-US"/>
        </w:rPr>
        <w:t>Subject:</w:t>
      </w:r>
      <w:r w:rsidR="008C3E8D" w:rsidRPr="00B46AC9">
        <w:rPr>
          <w:rFonts w:eastAsiaTheme="minorHAnsi"/>
          <w:b/>
          <w:szCs w:val="24"/>
          <w:lang w:eastAsia="en-US"/>
        </w:rPr>
        <w:t xml:space="preserve"> </w:t>
      </w:r>
      <w:r w:rsidR="00341E3D" w:rsidRPr="00B46AC9">
        <w:rPr>
          <w:rStyle w:val="normaltextrun"/>
          <w:b/>
          <w:bCs/>
        </w:rPr>
        <w:t>Note on the harmoni</w:t>
      </w:r>
      <w:r w:rsidR="00D46696">
        <w:rPr>
          <w:rStyle w:val="normaltextrun"/>
          <w:b/>
          <w:bCs/>
        </w:rPr>
        <w:t>s</w:t>
      </w:r>
      <w:r w:rsidR="00341E3D" w:rsidRPr="00B46AC9">
        <w:rPr>
          <w:rStyle w:val="normaltextrun"/>
          <w:b/>
          <w:bCs/>
        </w:rPr>
        <w:t xml:space="preserve">ed implementation of Article 55(1) of the </w:t>
      </w:r>
      <w:proofErr w:type="spellStart"/>
      <w:r w:rsidR="00341E3D" w:rsidRPr="00B46AC9">
        <w:rPr>
          <w:rStyle w:val="normaltextrun"/>
          <w:b/>
          <w:bCs/>
        </w:rPr>
        <w:t>BPR</w:t>
      </w:r>
      <w:proofErr w:type="spellEnd"/>
    </w:p>
    <w:p w14:paraId="3C8C6F31" w14:textId="73E4E3A6" w:rsidR="002B01A2" w:rsidRPr="00B46AC9" w:rsidRDefault="00696FFE" w:rsidP="009E11F7">
      <w:pPr>
        <w:pStyle w:val="Heading1"/>
        <w:rPr>
          <w:rFonts w:eastAsiaTheme="minorHAnsi"/>
          <w:lang w:eastAsia="en-US"/>
        </w:rPr>
      </w:pPr>
      <w:r w:rsidRPr="00B46AC9">
        <w:rPr>
          <w:rFonts w:eastAsiaTheme="minorHAnsi"/>
          <w:lang w:eastAsia="en-US"/>
        </w:rPr>
        <w:t xml:space="preserve">Background </w:t>
      </w:r>
      <w:r w:rsidR="00C16AB3" w:rsidRPr="00B46AC9">
        <w:rPr>
          <w:rFonts w:eastAsiaTheme="minorHAnsi"/>
          <w:lang w:eastAsia="en-US"/>
        </w:rPr>
        <w:t>and purpose of the document</w:t>
      </w:r>
    </w:p>
    <w:p w14:paraId="61BAEFD4" w14:textId="09A4CC66" w:rsidR="0023602B" w:rsidRPr="00B46AC9" w:rsidRDefault="000A673D" w:rsidP="00F02053">
      <w:pPr>
        <w:pStyle w:val="ListNumber1"/>
        <w:numPr>
          <w:ilvl w:val="0"/>
          <w:numId w:val="17"/>
        </w:numPr>
        <w:spacing w:after="120"/>
        <w:rPr>
          <w:rFonts w:eastAsiaTheme="minorHAnsi"/>
          <w:lang w:eastAsia="en-US"/>
        </w:rPr>
      </w:pPr>
      <w:r w:rsidRPr="00B46AC9">
        <w:rPr>
          <w:rFonts w:eastAsiaTheme="minorHAnsi"/>
          <w:lang w:eastAsia="en-US"/>
        </w:rPr>
        <w:t>The Covid-19 pandemic created an urgent need for disinfecting biocidal products, particularly hand</w:t>
      </w:r>
      <w:r w:rsidR="001B340F" w:rsidRPr="00B46AC9">
        <w:rPr>
          <w:rStyle w:val="FootnoteReference"/>
          <w:rFonts w:eastAsiaTheme="minorHAnsi"/>
          <w:lang w:eastAsia="en-US"/>
        </w:rPr>
        <w:footnoteReference w:id="2"/>
      </w:r>
      <w:r w:rsidRPr="00B46AC9">
        <w:rPr>
          <w:rFonts w:eastAsiaTheme="minorHAnsi"/>
          <w:lang w:eastAsia="en-US"/>
        </w:rPr>
        <w:t xml:space="preserve"> and surface</w:t>
      </w:r>
      <w:r w:rsidR="001B340F" w:rsidRPr="00B46AC9">
        <w:rPr>
          <w:rStyle w:val="FootnoteReference"/>
          <w:rFonts w:eastAsiaTheme="minorHAnsi"/>
          <w:lang w:eastAsia="en-US"/>
        </w:rPr>
        <w:footnoteReference w:id="3"/>
      </w:r>
      <w:r w:rsidRPr="00B46AC9">
        <w:rPr>
          <w:rFonts w:eastAsiaTheme="minorHAnsi"/>
          <w:lang w:eastAsia="en-US"/>
        </w:rPr>
        <w:t xml:space="preserve"> disinfectants to prevent further spreading of the disease. This resulted in an unprecedented reliance by Member States</w:t>
      </w:r>
      <w:r w:rsidR="0058616F" w:rsidRPr="00B46AC9">
        <w:rPr>
          <w:rStyle w:val="FootnoteReference"/>
          <w:rFonts w:eastAsiaTheme="minorHAnsi"/>
          <w:lang w:eastAsia="en-US"/>
        </w:rPr>
        <w:footnoteReference w:id="4"/>
      </w:r>
      <w:r w:rsidRPr="00B46AC9">
        <w:rPr>
          <w:rFonts w:eastAsiaTheme="minorHAnsi"/>
          <w:lang w:eastAsia="en-US"/>
        </w:rPr>
        <w:t xml:space="preserve"> on the Article 55(1) </w:t>
      </w:r>
      <w:proofErr w:type="spellStart"/>
      <w:r w:rsidRPr="00B46AC9">
        <w:rPr>
          <w:rFonts w:eastAsiaTheme="minorHAnsi"/>
          <w:lang w:eastAsia="en-US"/>
        </w:rPr>
        <w:t>BPR</w:t>
      </w:r>
      <w:proofErr w:type="spellEnd"/>
      <w:r w:rsidRPr="00B46AC9">
        <w:rPr>
          <w:rFonts w:eastAsiaTheme="minorHAnsi"/>
          <w:lang w:eastAsia="en-US"/>
        </w:rPr>
        <w:t xml:space="preserve"> emergency derogations </w:t>
      </w:r>
      <w:proofErr w:type="gramStart"/>
      <w:r w:rsidRPr="00B46AC9">
        <w:rPr>
          <w:rFonts w:eastAsiaTheme="minorHAnsi"/>
          <w:lang w:eastAsia="en-US"/>
        </w:rPr>
        <w:t>in order to</w:t>
      </w:r>
      <w:proofErr w:type="gramEnd"/>
      <w:r w:rsidRPr="00B46AC9">
        <w:rPr>
          <w:rFonts w:eastAsiaTheme="minorHAnsi"/>
          <w:lang w:eastAsia="en-US"/>
        </w:rPr>
        <w:t xml:space="preserve"> ensure prompt and sufficient availability of disinfectants on their territory.</w:t>
      </w:r>
    </w:p>
    <w:p w14:paraId="3C3A3F29" w14:textId="1E5ACA9B" w:rsidR="003A4ECC" w:rsidRPr="00B46AC9" w:rsidRDefault="000A673D" w:rsidP="00F02053">
      <w:pPr>
        <w:pStyle w:val="ListNumber1"/>
        <w:numPr>
          <w:ilvl w:val="0"/>
          <w:numId w:val="17"/>
        </w:numPr>
        <w:spacing w:after="120"/>
        <w:rPr>
          <w:rFonts w:eastAsiaTheme="minorHAnsi"/>
          <w:lang w:eastAsia="en-US"/>
        </w:rPr>
      </w:pPr>
      <w:r w:rsidRPr="00B46AC9">
        <w:t>There have been significant differences between the national approaches taken by Member States to implement the Article 55(1) derogations, which might have impacted the speed at which the products covered by the derogations could be legally made available.</w:t>
      </w:r>
    </w:p>
    <w:p w14:paraId="0D9ED64A" w14:textId="6DF7DEA0" w:rsidR="0031381D" w:rsidRPr="00B46AC9" w:rsidRDefault="0031381D" w:rsidP="00F02053">
      <w:pPr>
        <w:pStyle w:val="ListNumber1"/>
        <w:numPr>
          <w:ilvl w:val="0"/>
          <w:numId w:val="17"/>
        </w:numPr>
        <w:spacing w:after="120"/>
        <w:rPr>
          <w:rFonts w:eastAsiaTheme="minorHAnsi"/>
          <w:lang w:eastAsia="en-US"/>
        </w:rPr>
      </w:pPr>
      <w:r w:rsidRPr="00B46AC9">
        <w:rPr>
          <w:rFonts w:eastAsiaTheme="minorHAnsi"/>
          <w:lang w:eastAsia="en-US"/>
        </w:rPr>
        <w:t xml:space="preserve">The experience gained from the use of Article 55(1) derogations shows that this provision can be used effectively and provide flexibility </w:t>
      </w:r>
      <w:proofErr w:type="gramStart"/>
      <w:r w:rsidRPr="00B46AC9">
        <w:rPr>
          <w:rFonts w:eastAsiaTheme="minorHAnsi"/>
          <w:lang w:eastAsia="en-US"/>
        </w:rPr>
        <w:t>in light of</w:t>
      </w:r>
      <w:proofErr w:type="gramEnd"/>
      <w:r w:rsidRPr="00B46AC9">
        <w:rPr>
          <w:rFonts w:eastAsiaTheme="minorHAnsi"/>
          <w:lang w:eastAsia="en-US"/>
        </w:rPr>
        <w:t xml:space="preserve"> emergency situations. It is recognised that some of the most efficient practices developed with Article 55(1) during the Covid-19 crisis managed to strike a balance between ensuring prompt market access for needed biocidal products, relying on time-limited derogations and flexibility (e.g. as regards changes to products requirements such as packaging sizes, production sites, language requirements or enforcement), and ensure safety of the biocidal products made available on that basis.</w:t>
      </w:r>
    </w:p>
    <w:p w14:paraId="69985155" w14:textId="1192CAF0" w:rsidR="0031381D" w:rsidRPr="00B46AC9" w:rsidRDefault="0031381D" w:rsidP="00F02053">
      <w:pPr>
        <w:pStyle w:val="ListNumber1"/>
        <w:numPr>
          <w:ilvl w:val="0"/>
          <w:numId w:val="17"/>
        </w:numPr>
        <w:spacing w:after="120"/>
        <w:rPr>
          <w:rFonts w:eastAsiaTheme="minorHAnsi"/>
          <w:lang w:eastAsia="en-US"/>
        </w:rPr>
      </w:pPr>
      <w:r w:rsidRPr="00B46AC9">
        <w:rPr>
          <w:rFonts w:eastAsiaTheme="minorHAnsi"/>
          <w:lang w:eastAsia="en-US"/>
        </w:rPr>
        <w:t xml:space="preserve">The objective of this document is to agree on principles for the harmonised implementation of Article 55(1) of the </w:t>
      </w:r>
      <w:proofErr w:type="spellStart"/>
      <w:r w:rsidRPr="00B46AC9">
        <w:rPr>
          <w:rFonts w:eastAsiaTheme="minorHAnsi"/>
          <w:lang w:eastAsia="en-US"/>
        </w:rPr>
        <w:t>BPR</w:t>
      </w:r>
      <w:proofErr w:type="spellEnd"/>
      <w:r w:rsidRPr="00B46AC9">
        <w:rPr>
          <w:rFonts w:eastAsiaTheme="minorHAnsi"/>
          <w:lang w:eastAsia="en-US"/>
        </w:rPr>
        <w:t xml:space="preserve">, in anticipation of potential future needs to rely on this legal provision and to facilitate its implementation at that stage </w:t>
      </w:r>
      <w:proofErr w:type="gramStart"/>
      <w:r w:rsidRPr="00B46AC9">
        <w:rPr>
          <w:rFonts w:eastAsiaTheme="minorHAnsi"/>
          <w:lang w:eastAsia="en-US"/>
        </w:rPr>
        <w:t>in order to</w:t>
      </w:r>
      <w:proofErr w:type="gramEnd"/>
      <w:r w:rsidRPr="00B46AC9">
        <w:rPr>
          <w:rFonts w:eastAsiaTheme="minorHAnsi"/>
          <w:lang w:eastAsia="en-US"/>
        </w:rPr>
        <w:t xml:space="preserve"> efficiently ensure “</w:t>
      </w:r>
      <w:r w:rsidRPr="00B46AC9">
        <w:rPr>
          <w:rFonts w:eastAsiaTheme="minorHAnsi"/>
          <w:i/>
          <w:iCs/>
          <w:lang w:eastAsia="en-US"/>
        </w:rPr>
        <w:t>a high level of protection of both human and animal health and the environment</w:t>
      </w:r>
      <w:r w:rsidRPr="00B46AC9">
        <w:rPr>
          <w:rFonts w:eastAsiaTheme="minorHAnsi"/>
          <w:lang w:eastAsia="en-US"/>
        </w:rPr>
        <w:t>”</w:t>
      </w:r>
      <w:r w:rsidR="0058616F" w:rsidRPr="00B46AC9">
        <w:rPr>
          <w:rStyle w:val="FootnoteReference"/>
          <w:rFonts w:eastAsiaTheme="minorHAnsi"/>
          <w:lang w:eastAsia="en-US"/>
        </w:rPr>
        <w:footnoteReference w:id="5"/>
      </w:r>
      <w:r w:rsidRPr="00B46AC9">
        <w:rPr>
          <w:rFonts w:eastAsiaTheme="minorHAnsi"/>
          <w:lang w:eastAsia="en-US"/>
        </w:rPr>
        <w:t>.</w:t>
      </w:r>
    </w:p>
    <w:p w14:paraId="31697CA1" w14:textId="29DB4201" w:rsidR="00C16AB3" w:rsidRPr="00B46AC9" w:rsidRDefault="005A6ABA" w:rsidP="00C16AB3">
      <w:pPr>
        <w:pStyle w:val="Heading1"/>
      </w:pPr>
      <w:r w:rsidRPr="00B46AC9">
        <w:t xml:space="preserve">RELEVANT PROVISIONS OF THE </w:t>
      </w:r>
      <w:proofErr w:type="spellStart"/>
      <w:r w:rsidRPr="00B46AC9">
        <w:t>BPR</w:t>
      </w:r>
      <w:proofErr w:type="spellEnd"/>
    </w:p>
    <w:p w14:paraId="419461BF" w14:textId="1E1ED0EE" w:rsidR="000B76E5" w:rsidRPr="00B46AC9" w:rsidRDefault="000B76E5" w:rsidP="000B76E5">
      <w:pPr>
        <w:pStyle w:val="ListNumber1"/>
        <w:numPr>
          <w:ilvl w:val="0"/>
          <w:numId w:val="17"/>
        </w:numPr>
        <w:spacing w:after="120"/>
        <w:rPr>
          <w:rFonts w:eastAsiaTheme="minorHAnsi"/>
          <w:lang w:eastAsia="en-US"/>
        </w:rPr>
      </w:pPr>
      <w:r w:rsidRPr="00B46AC9">
        <w:rPr>
          <w:rFonts w:eastAsiaTheme="minorHAnsi"/>
          <w:lang w:eastAsia="en-US"/>
        </w:rPr>
        <w:t>The placing on the market</w:t>
      </w:r>
      <w:r w:rsidR="00B4165D" w:rsidRPr="00B46AC9">
        <w:rPr>
          <w:rStyle w:val="FootnoteReference"/>
          <w:rFonts w:eastAsiaTheme="minorHAnsi"/>
          <w:lang w:eastAsia="en-US"/>
        </w:rPr>
        <w:footnoteReference w:id="6"/>
      </w:r>
      <w:r w:rsidRPr="00B46AC9">
        <w:rPr>
          <w:rFonts w:eastAsiaTheme="minorHAnsi"/>
          <w:lang w:eastAsia="en-US"/>
        </w:rPr>
        <w:t xml:space="preserve"> and use</w:t>
      </w:r>
      <w:r w:rsidR="00B4165D" w:rsidRPr="00B46AC9">
        <w:rPr>
          <w:rStyle w:val="FootnoteReference"/>
          <w:rFonts w:eastAsiaTheme="minorHAnsi"/>
          <w:lang w:eastAsia="en-US"/>
        </w:rPr>
        <w:footnoteReference w:id="7"/>
      </w:r>
      <w:r w:rsidRPr="00B46AC9">
        <w:rPr>
          <w:rFonts w:eastAsiaTheme="minorHAnsi"/>
          <w:lang w:eastAsia="en-US"/>
        </w:rPr>
        <w:t xml:space="preserve"> of biocidal products </w:t>
      </w:r>
      <w:proofErr w:type="gramStart"/>
      <w:r w:rsidRPr="00B46AC9">
        <w:rPr>
          <w:rFonts w:eastAsiaTheme="minorHAnsi"/>
          <w:lang w:eastAsia="en-US"/>
        </w:rPr>
        <w:t>has to</w:t>
      </w:r>
      <w:proofErr w:type="gramEnd"/>
      <w:r w:rsidRPr="00B46AC9">
        <w:rPr>
          <w:rFonts w:eastAsiaTheme="minorHAnsi"/>
          <w:lang w:eastAsia="en-US"/>
        </w:rPr>
        <w:t xml:space="preserve"> be authorized under the </w:t>
      </w:r>
      <w:proofErr w:type="spellStart"/>
      <w:r w:rsidRPr="00B46AC9">
        <w:rPr>
          <w:rFonts w:eastAsiaTheme="minorHAnsi"/>
          <w:lang w:eastAsia="en-US"/>
        </w:rPr>
        <w:t>BPR</w:t>
      </w:r>
      <w:proofErr w:type="spellEnd"/>
      <w:r w:rsidR="00B4165D" w:rsidRPr="00B46AC9">
        <w:rPr>
          <w:rStyle w:val="FootnoteReference"/>
          <w:rFonts w:eastAsiaTheme="minorHAnsi"/>
          <w:lang w:eastAsia="en-US"/>
        </w:rPr>
        <w:footnoteReference w:id="8"/>
      </w:r>
      <w:r w:rsidRPr="00B46AC9">
        <w:rPr>
          <w:rFonts w:eastAsiaTheme="minorHAnsi"/>
          <w:lang w:eastAsia="en-US"/>
        </w:rPr>
        <w:t>, unless a derogation applies</w:t>
      </w:r>
      <w:r w:rsidR="00B4165D" w:rsidRPr="00B46AC9">
        <w:rPr>
          <w:rStyle w:val="FootnoteReference"/>
          <w:rFonts w:eastAsiaTheme="minorHAnsi"/>
          <w:lang w:eastAsia="en-US"/>
        </w:rPr>
        <w:footnoteReference w:id="9"/>
      </w:r>
      <w:r w:rsidRPr="00B46AC9">
        <w:rPr>
          <w:rFonts w:eastAsiaTheme="minorHAnsi"/>
          <w:lang w:eastAsia="en-US"/>
        </w:rPr>
        <w:t xml:space="preserve">. Article 55(1) of the </w:t>
      </w:r>
      <w:proofErr w:type="spellStart"/>
      <w:r w:rsidRPr="00B46AC9">
        <w:rPr>
          <w:rFonts w:eastAsiaTheme="minorHAnsi"/>
          <w:lang w:eastAsia="en-US"/>
        </w:rPr>
        <w:t>BPR</w:t>
      </w:r>
      <w:proofErr w:type="spellEnd"/>
      <w:r w:rsidRPr="00B46AC9">
        <w:rPr>
          <w:rFonts w:eastAsiaTheme="minorHAnsi"/>
          <w:lang w:eastAsia="en-US"/>
        </w:rPr>
        <w:t xml:space="preserve"> on derogations from the requirements covers emergency situations.</w:t>
      </w:r>
    </w:p>
    <w:p w14:paraId="52513500" w14:textId="39CF6AA9" w:rsidR="000B76E5" w:rsidRPr="00B46AC9" w:rsidRDefault="00912A03" w:rsidP="000B76E5">
      <w:pPr>
        <w:pStyle w:val="ListNumber1"/>
        <w:numPr>
          <w:ilvl w:val="0"/>
          <w:numId w:val="17"/>
        </w:numPr>
        <w:spacing w:after="120"/>
        <w:rPr>
          <w:rFonts w:eastAsiaTheme="minorHAnsi"/>
          <w:lang w:eastAsia="en-US"/>
        </w:rPr>
      </w:pPr>
      <w:r w:rsidRPr="00B46AC9">
        <w:rPr>
          <w:rFonts w:eastAsiaTheme="minorHAnsi"/>
          <w:lang w:eastAsia="en-US"/>
        </w:rPr>
        <w:lastRenderedPageBreak/>
        <w:t xml:space="preserve">As per Recital (48) of the </w:t>
      </w:r>
      <w:proofErr w:type="spellStart"/>
      <w:r w:rsidRPr="00B46AC9">
        <w:rPr>
          <w:rFonts w:eastAsiaTheme="minorHAnsi"/>
          <w:lang w:eastAsia="en-US"/>
        </w:rPr>
        <w:t>BPR</w:t>
      </w:r>
      <w:proofErr w:type="spellEnd"/>
      <w:r w:rsidRPr="00B46AC9">
        <w:rPr>
          <w:rFonts w:eastAsiaTheme="minorHAnsi"/>
          <w:lang w:eastAsia="en-US"/>
        </w:rPr>
        <w:t>:</w:t>
      </w:r>
    </w:p>
    <w:p w14:paraId="3EC3F6B3" w14:textId="4C185EDF" w:rsidR="00912A03" w:rsidRPr="00B46AC9" w:rsidRDefault="00F352B0" w:rsidP="00F352B0">
      <w:pPr>
        <w:pStyle w:val="ListNumber1"/>
        <w:numPr>
          <w:ilvl w:val="0"/>
          <w:numId w:val="0"/>
        </w:numPr>
        <w:spacing w:after="120"/>
        <w:ind w:left="709"/>
        <w:rPr>
          <w:rFonts w:eastAsiaTheme="minorHAnsi"/>
          <w:lang w:eastAsia="en-US"/>
        </w:rPr>
      </w:pPr>
      <w:r w:rsidRPr="00B46AC9">
        <w:rPr>
          <w:rStyle w:val="normaltextrun"/>
          <w:i/>
          <w:iCs/>
          <w:u w:val="single"/>
        </w:rPr>
        <w:t>“In the event of an unforeseen danger threatening public health or the environment which cannot be contained by other means,</w:t>
      </w:r>
      <w:r w:rsidRPr="00B46AC9">
        <w:rPr>
          <w:rStyle w:val="normaltextrun"/>
          <w:i/>
          <w:iCs/>
        </w:rPr>
        <w:t xml:space="preserve"> it should be possible for Member States to permit, for a limited period of time, the making available on the market of biocidal products which do not comply with the requirements of this Regulation.</w:t>
      </w:r>
      <w:r w:rsidRPr="00B46AC9">
        <w:rPr>
          <w:rStyle w:val="normaltextrun"/>
        </w:rPr>
        <w:t>” (</w:t>
      </w:r>
      <w:proofErr w:type="gramStart"/>
      <w:r w:rsidRPr="00B46AC9">
        <w:rPr>
          <w:rStyle w:val="normaltextrun"/>
        </w:rPr>
        <w:t>emphasis</w:t>
      </w:r>
      <w:proofErr w:type="gramEnd"/>
      <w:r w:rsidRPr="00B46AC9">
        <w:rPr>
          <w:rStyle w:val="normaltextrun"/>
        </w:rPr>
        <w:t xml:space="preserve"> added)</w:t>
      </w:r>
    </w:p>
    <w:p w14:paraId="7936974B" w14:textId="04E4E31C" w:rsidR="00F352B0" w:rsidRPr="00B46AC9" w:rsidRDefault="00F352B0" w:rsidP="00F352B0">
      <w:pPr>
        <w:pStyle w:val="ListNumber1"/>
        <w:numPr>
          <w:ilvl w:val="0"/>
          <w:numId w:val="17"/>
        </w:numPr>
        <w:spacing w:after="120"/>
        <w:rPr>
          <w:rFonts w:eastAsiaTheme="minorHAnsi"/>
          <w:lang w:eastAsia="en-US"/>
        </w:rPr>
      </w:pPr>
      <w:r w:rsidRPr="00B46AC9">
        <w:rPr>
          <w:rFonts w:eastAsiaTheme="minorHAnsi"/>
          <w:lang w:eastAsia="en-US"/>
        </w:rPr>
        <w:t xml:space="preserve">Article </w:t>
      </w:r>
      <w:r w:rsidRPr="00B46AC9">
        <w:rPr>
          <w:rStyle w:val="normaltextrun"/>
        </w:rPr>
        <w:t xml:space="preserve">55(1) of the </w:t>
      </w:r>
      <w:proofErr w:type="spellStart"/>
      <w:r w:rsidRPr="00B46AC9">
        <w:rPr>
          <w:rStyle w:val="normaltextrun"/>
        </w:rPr>
        <w:t>BPR</w:t>
      </w:r>
      <w:proofErr w:type="spellEnd"/>
      <w:r w:rsidRPr="00B46AC9">
        <w:rPr>
          <w:rStyle w:val="normaltextrun"/>
        </w:rPr>
        <w:t xml:space="preserve"> provides:</w:t>
      </w:r>
    </w:p>
    <w:p w14:paraId="30F3FC8A" w14:textId="171C4EBD" w:rsidR="004B7F63" w:rsidRPr="00B46AC9" w:rsidRDefault="004B7F63" w:rsidP="008A4E22">
      <w:pPr>
        <w:pStyle w:val="paragraph"/>
        <w:spacing w:before="120" w:beforeAutospacing="0" w:after="0" w:afterAutospacing="0"/>
        <w:ind w:left="709"/>
        <w:jc w:val="both"/>
        <w:textAlignment w:val="baseline"/>
      </w:pPr>
      <w:r w:rsidRPr="00B46AC9">
        <w:rPr>
          <w:rStyle w:val="normaltextrun"/>
          <w:i/>
          <w:iCs/>
        </w:rPr>
        <w:t xml:space="preserve">“1.   By way of derogation from Articles 17 and 19, </w:t>
      </w:r>
      <w:r w:rsidRPr="00B46AC9">
        <w:rPr>
          <w:rStyle w:val="normaltextrun"/>
          <w:i/>
          <w:iCs/>
          <w:u w:val="single"/>
        </w:rPr>
        <w:t>a competent authority may permit, for a period not exceeding 180 days, the making available on the market or use of a biocidal product which does not fulfil the conditions for authorisation laid down in this Regulation</w:t>
      </w:r>
      <w:r w:rsidRPr="00B46AC9">
        <w:rPr>
          <w:rStyle w:val="normaltextrun"/>
          <w:i/>
          <w:iCs/>
        </w:rPr>
        <w:t xml:space="preserve">, for a limited and controlled use under the supervision of the competent authority, </w:t>
      </w:r>
      <w:r w:rsidRPr="00B46AC9">
        <w:rPr>
          <w:rStyle w:val="normaltextrun"/>
          <w:i/>
          <w:iCs/>
          <w:u w:val="single"/>
        </w:rPr>
        <w:t>if such a measure is necessary because of a danger to public health, animal health or the environment which cannot be contained by other means.</w:t>
      </w:r>
      <w:r w:rsidRPr="00B46AC9">
        <w:rPr>
          <w:rStyle w:val="eop"/>
        </w:rPr>
        <w:t> </w:t>
      </w:r>
    </w:p>
    <w:p w14:paraId="1B2C097C" w14:textId="77777777" w:rsidR="004B7F63" w:rsidRPr="00B46AC9" w:rsidRDefault="004B7F63" w:rsidP="004B7F63">
      <w:pPr>
        <w:pStyle w:val="paragraph"/>
        <w:spacing w:before="120" w:beforeAutospacing="0" w:after="120" w:afterAutospacing="0"/>
        <w:ind w:left="709"/>
        <w:jc w:val="both"/>
        <w:textAlignment w:val="baseline"/>
      </w:pPr>
      <w:r w:rsidRPr="00B46AC9">
        <w:rPr>
          <w:rStyle w:val="normaltextrun"/>
          <w:i/>
          <w:iCs/>
        </w:rPr>
        <w:t xml:space="preserve">The competent authority referred to in the first subparagraph </w:t>
      </w:r>
      <w:r w:rsidRPr="00B46AC9">
        <w:rPr>
          <w:rStyle w:val="normaltextrun"/>
          <w:i/>
          <w:iCs/>
          <w:u w:val="single"/>
        </w:rPr>
        <w:t>shall, without delay, inform the other competent authorities and the Commission of its action</w:t>
      </w:r>
      <w:r w:rsidRPr="00B46AC9">
        <w:rPr>
          <w:rStyle w:val="normaltextrun"/>
          <w:i/>
          <w:iCs/>
        </w:rPr>
        <w:t xml:space="preserve"> and the justification for it. The competent authority shall, without delay, inform the other competent authorities and the Commission of the revocation of such action.</w:t>
      </w:r>
      <w:r w:rsidRPr="00B46AC9">
        <w:rPr>
          <w:rStyle w:val="eop"/>
        </w:rPr>
        <w:t> </w:t>
      </w:r>
    </w:p>
    <w:p w14:paraId="3E7304FF" w14:textId="34A08B94" w:rsidR="00D64B46" w:rsidRPr="00B46AC9" w:rsidRDefault="004B7F63" w:rsidP="00E8272C">
      <w:pPr>
        <w:pStyle w:val="ListNumber1"/>
        <w:numPr>
          <w:ilvl w:val="0"/>
          <w:numId w:val="0"/>
        </w:numPr>
        <w:spacing w:after="120"/>
        <w:ind w:left="709"/>
        <w:rPr>
          <w:rFonts w:eastAsiaTheme="minorHAnsi"/>
          <w:lang w:eastAsia="en-US"/>
        </w:rPr>
      </w:pPr>
      <w:r w:rsidRPr="00B46AC9">
        <w:rPr>
          <w:rStyle w:val="normaltextrun"/>
          <w:i/>
          <w:iCs/>
        </w:rPr>
        <w:t xml:space="preserve">On receipt of a reasoned request from the competent authority, the Commission shall, without delay and by means of implementing acts, decide whether, and under what conditions, the action taken by that competent authority may be extended, for a period not exceeding 550 days. Those implementing acts shall be adopted in accordance with the examination procedure referred to in Article 82(3).” </w:t>
      </w:r>
      <w:r w:rsidRPr="00B46AC9">
        <w:rPr>
          <w:rStyle w:val="normaltextrun"/>
        </w:rPr>
        <w:t>(</w:t>
      </w:r>
      <w:proofErr w:type="gramStart"/>
      <w:r w:rsidRPr="00B46AC9">
        <w:rPr>
          <w:rStyle w:val="normaltextrun"/>
        </w:rPr>
        <w:t>emphasis</w:t>
      </w:r>
      <w:proofErr w:type="gramEnd"/>
      <w:r w:rsidRPr="00B46AC9">
        <w:rPr>
          <w:rStyle w:val="normaltextrun"/>
        </w:rPr>
        <w:t xml:space="preserve"> added).</w:t>
      </w:r>
    </w:p>
    <w:p w14:paraId="70D6EDB7" w14:textId="43B62CCE" w:rsidR="0023602B" w:rsidRPr="00B46AC9" w:rsidRDefault="00C260BA" w:rsidP="0023602B">
      <w:pPr>
        <w:pStyle w:val="Heading1"/>
      </w:pPr>
      <w:r w:rsidRPr="00B46AC9">
        <w:t>PRINCIPLES FOR THE HARMONI</w:t>
      </w:r>
      <w:r w:rsidR="00B46AC9">
        <w:t>S</w:t>
      </w:r>
      <w:r w:rsidRPr="00B46AC9">
        <w:t xml:space="preserve">ED APPLICATION OF ARTICLE 55(1) OF THE </w:t>
      </w:r>
      <w:proofErr w:type="spellStart"/>
      <w:r w:rsidRPr="00B46AC9">
        <w:t>BPR</w:t>
      </w:r>
      <w:proofErr w:type="spellEnd"/>
    </w:p>
    <w:p w14:paraId="3F1EC873" w14:textId="1AB3E171" w:rsidR="0037358B" w:rsidRPr="00B46AC9" w:rsidRDefault="00197288" w:rsidP="0037358B">
      <w:pPr>
        <w:pStyle w:val="ListNumber1"/>
        <w:numPr>
          <w:ilvl w:val="0"/>
          <w:numId w:val="17"/>
        </w:numPr>
        <w:spacing w:after="120"/>
        <w:rPr>
          <w:rFonts w:eastAsiaTheme="minorHAnsi"/>
          <w:lang w:eastAsia="en-US"/>
        </w:rPr>
      </w:pPr>
      <w:r w:rsidRPr="00B46AC9">
        <w:rPr>
          <w:rFonts w:eastAsiaTheme="minorHAnsi"/>
          <w:lang w:eastAsia="en-US"/>
        </w:rPr>
        <w:t>[</w:t>
      </w:r>
      <w:proofErr w:type="gramStart"/>
      <w:r w:rsidR="00150839" w:rsidRPr="00B46AC9">
        <w:rPr>
          <w:rFonts w:eastAsiaTheme="minorHAnsi"/>
          <w:highlight w:val="yellow"/>
          <w:lang w:eastAsia="en-US"/>
        </w:rPr>
        <w:t>Note :</w:t>
      </w:r>
      <w:proofErr w:type="gramEnd"/>
      <w:r w:rsidR="00150839" w:rsidRPr="00B46AC9">
        <w:rPr>
          <w:rFonts w:eastAsiaTheme="minorHAnsi"/>
          <w:highlight w:val="yellow"/>
          <w:lang w:eastAsia="en-US"/>
        </w:rPr>
        <w:t xml:space="preserve"> </w:t>
      </w:r>
      <w:r w:rsidRPr="00B46AC9">
        <w:rPr>
          <w:rFonts w:eastAsiaTheme="minorHAnsi"/>
          <w:highlight w:val="yellow"/>
          <w:lang w:eastAsia="en-US"/>
        </w:rPr>
        <w:t>We suggest a discussion of and ideally agreement on, amongst others, the following items related to the implementation of Article 55(1) by Member States, the Commission and ECHA</w:t>
      </w:r>
      <w:r w:rsidR="00867D1F" w:rsidRPr="00B46AC9">
        <w:rPr>
          <w:rFonts w:eastAsiaTheme="minorHAnsi"/>
          <w:lang w:eastAsia="en-US"/>
        </w:rPr>
        <w:t>:</w:t>
      </w:r>
      <w:r w:rsidRPr="00B46AC9">
        <w:rPr>
          <w:rFonts w:eastAsiaTheme="minorHAnsi"/>
          <w:lang w:eastAsia="en-US"/>
        </w:rPr>
        <w:t>]</w:t>
      </w:r>
    </w:p>
    <w:p w14:paraId="130A5B16" w14:textId="77777777" w:rsidR="00867D1F" w:rsidRPr="00B46AC9" w:rsidRDefault="00867D1F" w:rsidP="00867D1F">
      <w:pPr>
        <w:pStyle w:val="ListNumber1"/>
        <w:numPr>
          <w:ilvl w:val="0"/>
          <w:numId w:val="23"/>
        </w:numPr>
        <w:spacing w:after="120"/>
        <w:rPr>
          <w:rFonts w:eastAsiaTheme="minorHAnsi"/>
          <w:i/>
          <w:lang w:eastAsia="en-US"/>
        </w:rPr>
      </w:pPr>
      <w:r w:rsidRPr="00B46AC9">
        <w:rPr>
          <w:rFonts w:eastAsiaTheme="minorHAnsi"/>
          <w:b/>
          <w:bCs/>
          <w:i/>
          <w:lang w:eastAsia="en-US"/>
        </w:rPr>
        <w:t>Scope of the Article 55(1) derogations (biocidal products):</w:t>
      </w:r>
      <w:r w:rsidRPr="00B46AC9">
        <w:rPr>
          <w:rFonts w:eastAsiaTheme="minorHAnsi"/>
          <w:i/>
          <w:lang w:eastAsia="en-US"/>
        </w:rPr>
        <w:t> </w:t>
      </w:r>
    </w:p>
    <w:p w14:paraId="0F5513DE" w14:textId="054387CD" w:rsidR="00867D1F" w:rsidRPr="00B46AC9" w:rsidRDefault="00867D1F" w:rsidP="00867D1F">
      <w:pPr>
        <w:pStyle w:val="ListNumber1"/>
        <w:numPr>
          <w:ilvl w:val="0"/>
          <w:numId w:val="24"/>
        </w:numPr>
        <w:spacing w:after="120"/>
        <w:rPr>
          <w:rFonts w:eastAsiaTheme="minorHAnsi"/>
          <w:lang w:eastAsia="en-US"/>
        </w:rPr>
      </w:pPr>
      <w:r w:rsidRPr="00B46AC9">
        <w:rPr>
          <w:rFonts w:eastAsiaTheme="minorHAnsi"/>
          <w:lang w:eastAsia="en-US"/>
        </w:rPr>
        <w:t>By formula or product group (</w:t>
      </w:r>
      <w:proofErr w:type="gramStart"/>
      <w:r w:rsidRPr="00B46AC9">
        <w:rPr>
          <w:rFonts w:eastAsiaTheme="minorHAnsi"/>
          <w:lang w:eastAsia="en-US"/>
        </w:rPr>
        <w:t>e.g.</w:t>
      </w:r>
      <w:proofErr w:type="gramEnd"/>
      <w:r w:rsidRPr="00B46AC9">
        <w:rPr>
          <w:rFonts w:eastAsiaTheme="minorHAnsi"/>
          <w:lang w:eastAsia="en-US"/>
        </w:rPr>
        <w:t xml:space="preserve"> WHO formula)</w:t>
      </w:r>
      <w:r w:rsidR="00F7011A">
        <w:rPr>
          <w:rFonts w:eastAsiaTheme="minorHAnsi"/>
          <w:lang w:eastAsia="en-US"/>
        </w:rPr>
        <w:t>, or</w:t>
      </w:r>
    </w:p>
    <w:p w14:paraId="4DE7D9F4" w14:textId="377977BB" w:rsidR="00867D1F" w:rsidRPr="00B46AC9" w:rsidRDefault="00867D1F" w:rsidP="00867D1F">
      <w:pPr>
        <w:pStyle w:val="ListNumber1"/>
        <w:numPr>
          <w:ilvl w:val="0"/>
          <w:numId w:val="24"/>
        </w:numPr>
        <w:spacing w:after="120"/>
        <w:rPr>
          <w:rFonts w:eastAsiaTheme="minorHAnsi"/>
          <w:lang w:eastAsia="en-US"/>
        </w:rPr>
      </w:pPr>
      <w:r w:rsidRPr="00B46AC9">
        <w:rPr>
          <w:rFonts w:eastAsiaTheme="minorHAnsi"/>
          <w:lang w:eastAsia="en-US"/>
        </w:rPr>
        <w:t>By individual biocidal product on a case-by-case basis</w:t>
      </w:r>
    </w:p>
    <w:p w14:paraId="52A14938" w14:textId="77777777" w:rsidR="00867D1F" w:rsidRPr="00B46AC9" w:rsidRDefault="00867D1F" w:rsidP="00867D1F">
      <w:pPr>
        <w:pStyle w:val="ListNumber1"/>
        <w:numPr>
          <w:ilvl w:val="0"/>
          <w:numId w:val="23"/>
        </w:numPr>
        <w:spacing w:after="120"/>
        <w:rPr>
          <w:rFonts w:eastAsiaTheme="minorHAnsi"/>
          <w:i/>
          <w:lang w:eastAsia="en-US"/>
        </w:rPr>
      </w:pPr>
      <w:r w:rsidRPr="00B46AC9">
        <w:rPr>
          <w:rFonts w:eastAsiaTheme="minorHAnsi"/>
          <w:b/>
          <w:bCs/>
          <w:i/>
          <w:lang w:eastAsia="en-US"/>
        </w:rPr>
        <w:t>Scope of the Article 55(1) derogations</w:t>
      </w:r>
      <w:r w:rsidRPr="00B46AC9">
        <w:rPr>
          <w:rFonts w:eastAsiaTheme="minorHAnsi"/>
          <w:i/>
          <w:lang w:eastAsia="en-US"/>
        </w:rPr>
        <w:t xml:space="preserve"> </w:t>
      </w:r>
      <w:r w:rsidRPr="00B46AC9">
        <w:rPr>
          <w:rFonts w:eastAsiaTheme="minorHAnsi"/>
          <w:b/>
          <w:bCs/>
          <w:i/>
          <w:lang w:eastAsia="en-US"/>
        </w:rPr>
        <w:t>(active substances):</w:t>
      </w:r>
      <w:r w:rsidRPr="00B46AC9">
        <w:rPr>
          <w:rFonts w:eastAsiaTheme="minorHAnsi"/>
          <w:i/>
          <w:lang w:eastAsia="en-US"/>
        </w:rPr>
        <w:t> </w:t>
      </w:r>
    </w:p>
    <w:p w14:paraId="1082D28C" w14:textId="5EAED587" w:rsidR="00867D1F" w:rsidRPr="00B46AC9" w:rsidRDefault="00867D1F" w:rsidP="00867D1F">
      <w:pPr>
        <w:pStyle w:val="ListNumber1"/>
        <w:numPr>
          <w:ilvl w:val="0"/>
          <w:numId w:val="25"/>
        </w:numPr>
        <w:spacing w:after="120"/>
        <w:rPr>
          <w:rFonts w:eastAsiaTheme="minorHAnsi"/>
          <w:lang w:eastAsia="en-US"/>
        </w:rPr>
      </w:pPr>
      <w:bookmarkStart w:id="0" w:name="_Hlk143276772"/>
      <w:r w:rsidRPr="00B46AC9">
        <w:rPr>
          <w:rFonts w:eastAsiaTheme="minorHAnsi"/>
          <w:lang w:eastAsia="en-US"/>
        </w:rPr>
        <w:t xml:space="preserve">Cover active substances approved for relevant </w:t>
      </w:r>
      <w:proofErr w:type="spellStart"/>
      <w:proofErr w:type="gramStart"/>
      <w:r w:rsidRPr="00B46AC9">
        <w:rPr>
          <w:rFonts w:eastAsiaTheme="minorHAnsi"/>
          <w:lang w:eastAsia="en-US"/>
        </w:rPr>
        <w:t>PTs</w:t>
      </w:r>
      <w:proofErr w:type="spellEnd"/>
      <w:proofErr w:type="gramEnd"/>
    </w:p>
    <w:bookmarkEnd w:id="0"/>
    <w:p w14:paraId="05D3F93D" w14:textId="54EF7B78" w:rsidR="00867D1F" w:rsidRPr="00B46AC9" w:rsidRDefault="00867D1F" w:rsidP="00867D1F">
      <w:pPr>
        <w:pStyle w:val="ListNumber1"/>
        <w:numPr>
          <w:ilvl w:val="0"/>
          <w:numId w:val="23"/>
        </w:numPr>
        <w:spacing w:after="120"/>
        <w:rPr>
          <w:rFonts w:eastAsiaTheme="minorHAnsi"/>
          <w:i/>
          <w:lang w:eastAsia="en-US"/>
        </w:rPr>
      </w:pPr>
      <w:r w:rsidRPr="00B46AC9">
        <w:rPr>
          <w:rFonts w:eastAsiaTheme="minorHAnsi"/>
          <w:b/>
          <w:bCs/>
          <w:i/>
          <w:lang w:eastAsia="en-US"/>
        </w:rPr>
        <w:t>Procedural requirements</w:t>
      </w:r>
      <w:r w:rsidR="00227C45" w:rsidRPr="00B46AC9">
        <w:rPr>
          <w:rFonts w:eastAsiaTheme="minorHAnsi"/>
          <w:i/>
          <w:lang w:eastAsia="en-US"/>
        </w:rPr>
        <w:t>:</w:t>
      </w:r>
    </w:p>
    <w:p w14:paraId="29BBD6A6" w14:textId="74428A42" w:rsidR="00F56CA3" w:rsidRPr="00B46AC9" w:rsidRDefault="00F56CA3" w:rsidP="00F56CA3">
      <w:pPr>
        <w:pStyle w:val="ListNumber1"/>
        <w:numPr>
          <w:ilvl w:val="0"/>
          <w:numId w:val="27"/>
        </w:numPr>
        <w:spacing w:after="120"/>
        <w:rPr>
          <w:rFonts w:eastAsiaTheme="minorHAnsi"/>
          <w:lang w:eastAsia="en-US"/>
        </w:rPr>
      </w:pPr>
      <w:r w:rsidRPr="00B46AC9">
        <w:rPr>
          <w:rStyle w:val="normaltextrun"/>
        </w:rPr>
        <w:t>Notification versus evaluation</w:t>
      </w:r>
      <w:r w:rsidR="00F7011A">
        <w:rPr>
          <w:rStyle w:val="normaltextrun"/>
        </w:rPr>
        <w:t>?</w:t>
      </w:r>
    </w:p>
    <w:p w14:paraId="262670A7" w14:textId="6660D1FF" w:rsidR="00F56CA3" w:rsidRPr="00B46AC9" w:rsidRDefault="004A0A51" w:rsidP="00F56CA3">
      <w:pPr>
        <w:pStyle w:val="ListNumber1"/>
        <w:numPr>
          <w:ilvl w:val="0"/>
          <w:numId w:val="27"/>
        </w:numPr>
        <w:spacing w:after="120"/>
        <w:rPr>
          <w:rStyle w:val="normaltextrun"/>
          <w:rFonts w:eastAsiaTheme="minorHAnsi"/>
          <w:lang w:eastAsia="en-US"/>
        </w:rPr>
      </w:pPr>
      <w:r w:rsidRPr="00B46AC9">
        <w:rPr>
          <w:rStyle w:val="normaltextrun"/>
        </w:rPr>
        <w:t>Fast-track procedure</w:t>
      </w:r>
      <w:r w:rsidR="00C92EE1">
        <w:rPr>
          <w:rStyle w:val="normaltextrun"/>
        </w:rPr>
        <w:t xml:space="preserve"> (see paragraphs (9) to (1</w:t>
      </w:r>
      <w:r w:rsidR="00611F29">
        <w:rPr>
          <w:rStyle w:val="normaltextrun"/>
        </w:rPr>
        <w:t>4</w:t>
      </w:r>
      <w:r w:rsidR="00C92EE1">
        <w:rPr>
          <w:rStyle w:val="normaltextrun"/>
        </w:rPr>
        <w:t>))</w:t>
      </w:r>
    </w:p>
    <w:p w14:paraId="0C3A7E4F" w14:textId="1A4098F6" w:rsidR="00D3784F" w:rsidRPr="00B46AC9" w:rsidRDefault="00D3784F" w:rsidP="00F56CA3">
      <w:pPr>
        <w:pStyle w:val="ListNumber1"/>
        <w:numPr>
          <w:ilvl w:val="0"/>
          <w:numId w:val="27"/>
        </w:numPr>
        <w:spacing w:after="120"/>
        <w:rPr>
          <w:rStyle w:val="normaltextrun"/>
          <w:rFonts w:eastAsiaTheme="minorHAnsi"/>
          <w:lang w:eastAsia="en-US"/>
        </w:rPr>
      </w:pPr>
      <w:r w:rsidRPr="00B46AC9">
        <w:rPr>
          <w:rStyle w:val="normaltextrun"/>
          <w:rFonts w:eastAsiaTheme="minorHAnsi"/>
          <w:lang w:eastAsia="en-US"/>
        </w:rPr>
        <w:t xml:space="preserve">Data required for Article 55(1) </w:t>
      </w:r>
      <w:proofErr w:type="gramStart"/>
      <w:r w:rsidRPr="00B46AC9">
        <w:rPr>
          <w:rStyle w:val="normaltextrun"/>
          <w:rFonts w:eastAsiaTheme="minorHAnsi"/>
          <w:lang w:eastAsia="en-US"/>
        </w:rPr>
        <w:t>application</w:t>
      </w:r>
      <w:proofErr w:type="gramEnd"/>
    </w:p>
    <w:p w14:paraId="598EE150" w14:textId="090D3495" w:rsidR="00016AAB" w:rsidRPr="00B46AC9" w:rsidRDefault="00151219" w:rsidP="00016AAB">
      <w:pPr>
        <w:pStyle w:val="ListNumber1"/>
        <w:numPr>
          <w:ilvl w:val="0"/>
          <w:numId w:val="0"/>
        </w:numPr>
        <w:spacing w:after="120"/>
        <w:ind w:left="1080"/>
        <w:rPr>
          <w:rStyle w:val="normaltextrun"/>
          <w:rFonts w:eastAsiaTheme="minorHAnsi"/>
          <w:lang w:eastAsia="en-US"/>
        </w:rPr>
      </w:pPr>
      <w:r w:rsidRPr="00B46AC9">
        <w:rPr>
          <w:rStyle w:val="normaltextrun"/>
          <w:rFonts w:eastAsiaTheme="minorHAnsi"/>
          <w:lang w:eastAsia="en-US"/>
        </w:rPr>
        <w:t>Applicants to</w:t>
      </w:r>
      <w:r w:rsidR="00016AAB" w:rsidRPr="00B46AC9">
        <w:rPr>
          <w:rStyle w:val="normaltextrun"/>
          <w:rFonts w:eastAsiaTheme="minorHAnsi"/>
          <w:lang w:eastAsia="en-US"/>
        </w:rPr>
        <w:t xml:space="preserve"> use an EU template for </w:t>
      </w:r>
      <w:r w:rsidR="00016AAB" w:rsidRPr="00B46AC9">
        <w:rPr>
          <w:rStyle w:val="normaltextrun"/>
          <w:rFonts w:eastAsiaTheme="minorHAnsi"/>
          <w:u w:val="single"/>
          <w:lang w:eastAsia="en-US"/>
        </w:rPr>
        <w:t>new</w:t>
      </w:r>
      <w:r w:rsidR="00016AAB" w:rsidRPr="00B46AC9">
        <w:rPr>
          <w:rStyle w:val="normaltextrun"/>
          <w:rFonts w:eastAsiaTheme="minorHAnsi"/>
          <w:lang w:eastAsia="en-US"/>
        </w:rPr>
        <w:t xml:space="preserve"> biocidal products (see Appendix 1)</w:t>
      </w:r>
      <w:r w:rsidR="00504475" w:rsidRPr="00B46AC9">
        <w:rPr>
          <w:rStyle w:val="normaltextrun"/>
          <w:rFonts w:eastAsiaTheme="minorHAnsi"/>
          <w:lang w:eastAsia="en-US"/>
        </w:rPr>
        <w:t>.</w:t>
      </w:r>
    </w:p>
    <w:p w14:paraId="26908182" w14:textId="4710E4D9" w:rsidR="00227C45" w:rsidRPr="00B46AC9" w:rsidRDefault="00227C45" w:rsidP="00227C45">
      <w:pPr>
        <w:pStyle w:val="ListNumber1"/>
        <w:numPr>
          <w:ilvl w:val="0"/>
          <w:numId w:val="23"/>
        </w:numPr>
        <w:spacing w:after="120"/>
        <w:rPr>
          <w:rFonts w:eastAsiaTheme="minorHAnsi"/>
          <w:i/>
          <w:lang w:eastAsia="en-US"/>
        </w:rPr>
      </w:pPr>
      <w:r w:rsidRPr="00B46AC9">
        <w:rPr>
          <w:rFonts w:eastAsiaTheme="minorHAnsi"/>
          <w:b/>
          <w:bCs/>
          <w:i/>
          <w:lang w:eastAsia="en-US"/>
        </w:rPr>
        <w:t>Communication</w:t>
      </w:r>
      <w:r w:rsidR="008B3973" w:rsidRPr="00B46AC9">
        <w:rPr>
          <w:rFonts w:eastAsiaTheme="minorHAnsi"/>
          <w:b/>
          <w:bCs/>
          <w:i/>
          <w:lang w:eastAsia="en-US"/>
        </w:rPr>
        <w:t xml:space="preserve"> </w:t>
      </w:r>
      <w:r w:rsidR="008B3973" w:rsidRPr="00B46AC9">
        <w:rPr>
          <w:rStyle w:val="eop"/>
          <w:b/>
          <w:bCs/>
          <w:i/>
        </w:rPr>
        <w:t>and coordination</w:t>
      </w:r>
      <w:r w:rsidRPr="00B46AC9">
        <w:rPr>
          <w:rFonts w:eastAsiaTheme="minorHAnsi"/>
          <w:b/>
          <w:bCs/>
          <w:i/>
          <w:lang w:eastAsia="en-US"/>
        </w:rPr>
        <w:t>:</w:t>
      </w:r>
      <w:r w:rsidRPr="00B46AC9">
        <w:rPr>
          <w:rFonts w:eastAsiaTheme="minorHAnsi"/>
          <w:i/>
          <w:lang w:eastAsia="en-US"/>
        </w:rPr>
        <w:t> </w:t>
      </w:r>
    </w:p>
    <w:p w14:paraId="24141443" w14:textId="17BA459C" w:rsidR="00227C45" w:rsidRPr="00B46AC9" w:rsidRDefault="008B3973" w:rsidP="00227C45">
      <w:pPr>
        <w:pStyle w:val="ListNumber1"/>
        <w:numPr>
          <w:ilvl w:val="0"/>
          <w:numId w:val="29"/>
        </w:numPr>
        <w:spacing w:after="120"/>
        <w:rPr>
          <w:rFonts w:eastAsiaTheme="minorHAnsi"/>
          <w:lang w:eastAsia="en-US"/>
        </w:rPr>
      </w:pPr>
      <w:r w:rsidRPr="00B46AC9">
        <w:rPr>
          <w:rFonts w:eastAsiaTheme="minorHAnsi"/>
          <w:lang w:eastAsia="en-US"/>
        </w:rPr>
        <w:t>Emergency procedures/ guidance by Member States to be easily available and available in English on top of local language(s)</w:t>
      </w:r>
    </w:p>
    <w:p w14:paraId="315A23C2" w14:textId="39E81AAC" w:rsidR="00227C45" w:rsidRPr="00B46AC9" w:rsidRDefault="008B3973" w:rsidP="00227C45">
      <w:pPr>
        <w:pStyle w:val="ListNumber1"/>
        <w:numPr>
          <w:ilvl w:val="0"/>
          <w:numId w:val="29"/>
        </w:numPr>
        <w:spacing w:after="120"/>
        <w:rPr>
          <w:rFonts w:eastAsiaTheme="minorHAnsi"/>
          <w:lang w:eastAsia="en-US"/>
        </w:rPr>
      </w:pPr>
      <w:r w:rsidRPr="00B46AC9">
        <w:rPr>
          <w:rFonts w:eastAsiaTheme="minorHAnsi"/>
          <w:lang w:eastAsia="en-US"/>
        </w:rPr>
        <w:lastRenderedPageBreak/>
        <w:t>Centralised point where all guidance, national emergency procedures and contact points are being collected by ECHA/the Commission</w:t>
      </w:r>
    </w:p>
    <w:p w14:paraId="6CB7472B" w14:textId="431A8964" w:rsidR="008B3973" w:rsidRPr="00B46AC9" w:rsidRDefault="008B3973" w:rsidP="00227C45">
      <w:pPr>
        <w:pStyle w:val="ListNumber1"/>
        <w:numPr>
          <w:ilvl w:val="0"/>
          <w:numId w:val="29"/>
        </w:numPr>
        <w:spacing w:after="120"/>
        <w:rPr>
          <w:rStyle w:val="normaltextrun"/>
          <w:rFonts w:eastAsiaTheme="minorHAnsi"/>
          <w:lang w:eastAsia="en-US"/>
        </w:rPr>
      </w:pPr>
      <w:r w:rsidRPr="00B46AC9">
        <w:rPr>
          <w:rStyle w:val="normaltextrun"/>
        </w:rPr>
        <w:t>“European Emergency Helpdesk” by ECHA/Commission (e.g., via HelpNet)</w:t>
      </w:r>
    </w:p>
    <w:p w14:paraId="128A2255" w14:textId="243645DC" w:rsidR="008B3973" w:rsidRPr="00B46AC9" w:rsidRDefault="008B3973" w:rsidP="00227C45">
      <w:pPr>
        <w:pStyle w:val="ListNumber1"/>
        <w:numPr>
          <w:ilvl w:val="0"/>
          <w:numId w:val="29"/>
        </w:numPr>
        <w:spacing w:after="120"/>
        <w:rPr>
          <w:rFonts w:eastAsiaTheme="minorHAnsi"/>
          <w:lang w:eastAsia="en-US"/>
        </w:rPr>
      </w:pPr>
      <w:r w:rsidRPr="00B46AC9">
        <w:rPr>
          <w:rFonts w:eastAsiaTheme="minorHAnsi"/>
          <w:lang w:eastAsia="en-US"/>
        </w:rPr>
        <w:t>Creation of a “crisis unit” (with representatives from the Commission, all Member States, ECHA and Stakeholder organisations) to be activated by the Commission at the beginning of each crisis.</w:t>
      </w:r>
    </w:p>
    <w:p w14:paraId="76F4665C" w14:textId="77777777" w:rsidR="00227C45" w:rsidRPr="00B46AC9" w:rsidRDefault="00227C45" w:rsidP="00227C45">
      <w:pPr>
        <w:pStyle w:val="ListNumber1"/>
        <w:numPr>
          <w:ilvl w:val="0"/>
          <w:numId w:val="0"/>
        </w:numPr>
        <w:spacing w:after="120"/>
        <w:ind w:left="709" w:hanging="709"/>
        <w:rPr>
          <w:rStyle w:val="normaltextrun"/>
        </w:rPr>
      </w:pPr>
    </w:p>
    <w:p w14:paraId="1AD92848" w14:textId="214EF234" w:rsidR="00867D1F" w:rsidRPr="00B46AC9" w:rsidRDefault="00A12DEE" w:rsidP="00A959B8">
      <w:pPr>
        <w:pStyle w:val="ListNumber1"/>
        <w:numPr>
          <w:ilvl w:val="0"/>
          <w:numId w:val="17"/>
        </w:numPr>
        <w:spacing w:after="120"/>
        <w:rPr>
          <w:rFonts w:eastAsiaTheme="minorHAnsi"/>
          <w:lang w:eastAsia="en-US"/>
        </w:rPr>
      </w:pPr>
      <w:r w:rsidRPr="00B46AC9">
        <w:rPr>
          <w:rFonts w:eastAsiaTheme="minorHAnsi"/>
          <w:lang w:eastAsia="en-US"/>
        </w:rPr>
        <w:t>Considerations for fast-track procedure (item c) (ii))</w:t>
      </w:r>
      <w:r w:rsidR="00DA21A3" w:rsidRPr="00B46AC9">
        <w:rPr>
          <w:rFonts w:eastAsiaTheme="minorHAnsi"/>
          <w:lang w:eastAsia="en-US"/>
        </w:rPr>
        <w:t>:</w:t>
      </w:r>
    </w:p>
    <w:p w14:paraId="5C055711" w14:textId="6AE6319C" w:rsidR="00062D82" w:rsidRPr="00B46AC9" w:rsidRDefault="00300FB0" w:rsidP="00EA1817">
      <w:pPr>
        <w:pStyle w:val="ListNumber1"/>
        <w:numPr>
          <w:ilvl w:val="0"/>
          <w:numId w:val="33"/>
        </w:numPr>
        <w:spacing w:before="120" w:after="120"/>
        <w:ind w:left="1077" w:hanging="357"/>
        <w:rPr>
          <w:rFonts w:eastAsiaTheme="minorHAnsi"/>
          <w:i/>
          <w:iCs/>
          <w:u w:val="single"/>
          <w:lang w:eastAsia="en-US"/>
        </w:rPr>
      </w:pPr>
      <w:r w:rsidRPr="00B46AC9">
        <w:rPr>
          <w:rFonts w:eastAsiaTheme="minorHAnsi"/>
          <w:i/>
          <w:iCs/>
          <w:u w:val="single"/>
          <w:lang w:eastAsia="en-US"/>
        </w:rPr>
        <w:t xml:space="preserve">For authorisation and for changes under </w:t>
      </w:r>
      <w:proofErr w:type="spellStart"/>
      <w:r w:rsidRPr="00B46AC9">
        <w:rPr>
          <w:rFonts w:eastAsiaTheme="minorHAnsi"/>
          <w:i/>
          <w:iCs/>
          <w:u w:val="single"/>
          <w:lang w:eastAsia="en-US"/>
        </w:rPr>
        <w:t>BPR</w:t>
      </w:r>
      <w:proofErr w:type="spellEnd"/>
      <w:r w:rsidR="00D827DC" w:rsidRPr="00B46AC9">
        <w:rPr>
          <w:rFonts w:eastAsiaTheme="minorHAnsi"/>
          <w:i/>
          <w:iCs/>
          <w:u w:val="single"/>
          <w:lang w:eastAsia="en-US"/>
        </w:rPr>
        <w:t>:</w:t>
      </w:r>
    </w:p>
    <w:p w14:paraId="1341A3FB" w14:textId="03C7AE6B" w:rsidR="00062D82" w:rsidRPr="00B46AC9" w:rsidRDefault="00300FB0" w:rsidP="00300FB0">
      <w:pPr>
        <w:pStyle w:val="ListNumber1"/>
        <w:numPr>
          <w:ilvl w:val="0"/>
          <w:numId w:val="17"/>
        </w:numPr>
        <w:spacing w:after="120"/>
        <w:rPr>
          <w:rFonts w:eastAsiaTheme="minorHAnsi"/>
          <w:lang w:eastAsia="en-US"/>
        </w:rPr>
      </w:pPr>
      <w:r w:rsidRPr="00B46AC9">
        <w:rPr>
          <w:rFonts w:eastAsiaTheme="minorHAnsi"/>
          <w:lang w:eastAsia="en-US"/>
        </w:rPr>
        <w:t xml:space="preserve">The </w:t>
      </w:r>
      <w:proofErr w:type="spellStart"/>
      <w:r w:rsidRPr="00B46AC9">
        <w:rPr>
          <w:rFonts w:eastAsiaTheme="minorHAnsi"/>
          <w:lang w:eastAsia="en-US"/>
        </w:rPr>
        <w:t>BPR</w:t>
      </w:r>
      <w:proofErr w:type="spellEnd"/>
      <w:r w:rsidRPr="00B46AC9">
        <w:rPr>
          <w:rFonts w:eastAsiaTheme="minorHAnsi"/>
          <w:lang w:eastAsia="en-US"/>
        </w:rPr>
        <w:t xml:space="preserve"> prescribes the following timelines:</w:t>
      </w:r>
    </w:p>
    <w:p w14:paraId="5032D162" w14:textId="484243E6" w:rsidR="00300FB0" w:rsidRPr="00B46AC9" w:rsidRDefault="00300FB0" w:rsidP="00300FB0">
      <w:pPr>
        <w:pStyle w:val="ListNumber1"/>
        <w:numPr>
          <w:ilvl w:val="0"/>
          <w:numId w:val="33"/>
        </w:numPr>
        <w:spacing w:after="120"/>
        <w:rPr>
          <w:rFonts w:eastAsiaTheme="minorHAnsi"/>
          <w:lang w:eastAsia="en-US"/>
        </w:rPr>
      </w:pPr>
      <w:r w:rsidRPr="00B46AC9">
        <w:rPr>
          <w:rFonts w:eastAsiaTheme="minorHAnsi"/>
          <w:lang w:eastAsia="en-US"/>
        </w:rPr>
        <w:t>For national product authorisation</w:t>
      </w:r>
      <w:r w:rsidR="00BA5281" w:rsidRPr="00B46AC9">
        <w:rPr>
          <w:rStyle w:val="FootnoteReference"/>
          <w:rFonts w:eastAsiaTheme="minorHAnsi"/>
          <w:lang w:eastAsia="en-US"/>
        </w:rPr>
        <w:footnoteReference w:id="10"/>
      </w:r>
      <w:r w:rsidRPr="00B46AC9">
        <w:rPr>
          <w:rFonts w:eastAsiaTheme="minorHAnsi"/>
          <w:lang w:eastAsia="en-US"/>
        </w:rPr>
        <w:t xml:space="preserve"> can take from +- 460 days to 760 days.</w:t>
      </w:r>
    </w:p>
    <w:p w14:paraId="74EE27AF" w14:textId="1FC22FFC" w:rsidR="00300FB0" w:rsidRPr="00B46AC9" w:rsidRDefault="00300FB0" w:rsidP="00300FB0">
      <w:pPr>
        <w:pStyle w:val="ListNumber1"/>
        <w:numPr>
          <w:ilvl w:val="0"/>
          <w:numId w:val="33"/>
        </w:numPr>
        <w:spacing w:after="120"/>
        <w:rPr>
          <w:rFonts w:eastAsiaTheme="minorHAnsi"/>
          <w:lang w:eastAsia="en-US"/>
        </w:rPr>
      </w:pPr>
      <w:r w:rsidRPr="00B46AC9">
        <w:rPr>
          <w:rFonts w:eastAsiaTheme="minorHAnsi"/>
          <w:lang w:eastAsia="en-US"/>
        </w:rPr>
        <w:t>A mutual recognition</w:t>
      </w:r>
      <w:r w:rsidR="00934D89" w:rsidRPr="00B46AC9">
        <w:rPr>
          <w:rStyle w:val="FootnoteReference"/>
          <w:rFonts w:eastAsiaTheme="minorHAnsi"/>
          <w:lang w:eastAsia="en-US"/>
        </w:rPr>
        <w:footnoteReference w:id="11"/>
      </w:r>
      <w:r w:rsidRPr="00B46AC9">
        <w:rPr>
          <w:rFonts w:eastAsiaTheme="minorHAnsi"/>
          <w:lang w:eastAsia="en-US"/>
        </w:rPr>
        <w:t xml:space="preserve"> in parallel adds another +- 150 </w:t>
      </w:r>
      <w:proofErr w:type="gramStart"/>
      <w:r w:rsidRPr="00B46AC9">
        <w:rPr>
          <w:rFonts w:eastAsiaTheme="minorHAnsi"/>
          <w:lang w:eastAsia="en-US"/>
        </w:rPr>
        <w:t>days</w:t>
      </w:r>
      <w:proofErr w:type="gramEnd"/>
      <w:r w:rsidRPr="00B46AC9">
        <w:rPr>
          <w:rFonts w:eastAsiaTheme="minorHAnsi"/>
          <w:lang w:eastAsia="en-US"/>
        </w:rPr>
        <w:t xml:space="preserve"> to the above at minimum. </w:t>
      </w:r>
    </w:p>
    <w:p w14:paraId="08CFE16F" w14:textId="673661B2" w:rsidR="00300FB0" w:rsidRPr="00B46AC9" w:rsidRDefault="00300FB0" w:rsidP="00300FB0">
      <w:pPr>
        <w:pStyle w:val="ListNumber1"/>
        <w:numPr>
          <w:ilvl w:val="0"/>
          <w:numId w:val="33"/>
        </w:numPr>
        <w:spacing w:after="120"/>
        <w:rPr>
          <w:rFonts w:eastAsiaTheme="minorHAnsi"/>
          <w:lang w:eastAsia="en-US"/>
        </w:rPr>
      </w:pPr>
      <w:r w:rsidRPr="00B46AC9">
        <w:rPr>
          <w:rFonts w:eastAsiaTheme="minorHAnsi"/>
          <w:lang w:eastAsia="en-US"/>
        </w:rPr>
        <w:t>In case of a Union authorisation</w:t>
      </w:r>
      <w:r w:rsidR="00934D89" w:rsidRPr="00B46AC9">
        <w:rPr>
          <w:rStyle w:val="FootnoteReference"/>
          <w:rFonts w:eastAsiaTheme="minorHAnsi"/>
          <w:lang w:eastAsia="en-US"/>
        </w:rPr>
        <w:footnoteReference w:id="12"/>
      </w:r>
      <w:r w:rsidRPr="00B46AC9">
        <w:rPr>
          <w:rFonts w:eastAsiaTheme="minorHAnsi"/>
          <w:lang w:eastAsia="en-US"/>
        </w:rPr>
        <w:t>, can take from +- 670 days (incl. Commission decision) to 940 days.</w:t>
      </w:r>
    </w:p>
    <w:p w14:paraId="2A8FCF74" w14:textId="0FFBC237" w:rsidR="00867D1F" w:rsidRPr="00B46AC9" w:rsidRDefault="00300FB0" w:rsidP="00562A29">
      <w:pPr>
        <w:pStyle w:val="ListNumber1"/>
        <w:numPr>
          <w:ilvl w:val="0"/>
          <w:numId w:val="0"/>
        </w:numPr>
        <w:spacing w:after="120"/>
        <w:ind w:left="720"/>
        <w:rPr>
          <w:rStyle w:val="normaltextrun"/>
          <w:rFonts w:eastAsiaTheme="minorHAnsi"/>
          <w:lang w:eastAsia="en-US"/>
        </w:rPr>
      </w:pPr>
      <w:r w:rsidRPr="00B46AC9">
        <w:rPr>
          <w:rFonts w:eastAsiaTheme="minorHAnsi"/>
          <w:lang w:eastAsia="en-US"/>
        </w:rPr>
        <w:t xml:space="preserve">In practice, </w:t>
      </w:r>
      <w:r w:rsidRPr="00B46AC9">
        <w:rPr>
          <w:rStyle w:val="normaltextrun"/>
        </w:rPr>
        <w:t>we see that longer timelines might even apply, especially in case of Union authorisation. Furthermore, the same timelines as above apply to biocidal products families (</w:t>
      </w:r>
      <w:proofErr w:type="spellStart"/>
      <w:r w:rsidRPr="00B46AC9">
        <w:rPr>
          <w:rStyle w:val="normaltextrun"/>
        </w:rPr>
        <w:t>BPF</w:t>
      </w:r>
      <w:proofErr w:type="spellEnd"/>
      <w:r w:rsidRPr="00B46AC9">
        <w:rPr>
          <w:rStyle w:val="normaltextrun"/>
        </w:rPr>
        <w:t>), while authorisation timelines are much longer</w:t>
      </w:r>
      <w:r w:rsidR="000B5145" w:rsidRPr="00B46AC9">
        <w:rPr>
          <w:rStyle w:val="normaltextrun"/>
        </w:rPr>
        <w:t>.</w:t>
      </w:r>
    </w:p>
    <w:p w14:paraId="37ACEA6F" w14:textId="42122DC5" w:rsidR="000B5145" w:rsidRPr="00B46AC9" w:rsidRDefault="000B5145" w:rsidP="00300FB0">
      <w:pPr>
        <w:pStyle w:val="ListNumber1"/>
        <w:numPr>
          <w:ilvl w:val="0"/>
          <w:numId w:val="17"/>
        </w:numPr>
        <w:spacing w:after="120"/>
        <w:rPr>
          <w:rFonts w:eastAsiaTheme="minorHAnsi"/>
          <w:lang w:eastAsia="en-US"/>
        </w:rPr>
      </w:pPr>
      <w:r w:rsidRPr="00B46AC9">
        <w:rPr>
          <w:rStyle w:val="normaltextrun"/>
        </w:rPr>
        <w:t xml:space="preserve">The timelines to obtain an authorisation for changes to an </w:t>
      </w:r>
      <w:proofErr w:type="gramStart"/>
      <w:r w:rsidRPr="00B46AC9">
        <w:rPr>
          <w:rStyle w:val="normaltextrun"/>
        </w:rPr>
        <w:t>existing authorisations</w:t>
      </w:r>
      <w:proofErr w:type="gramEnd"/>
      <w:r w:rsidRPr="00B46AC9">
        <w:rPr>
          <w:rStyle w:val="normaltextrun"/>
        </w:rPr>
        <w:t xml:space="preserve"> vary</w:t>
      </w:r>
      <w:r w:rsidR="00D60776" w:rsidRPr="00B46AC9">
        <w:rPr>
          <w:rStyle w:val="FootnoteReference"/>
        </w:rPr>
        <w:footnoteReference w:id="13"/>
      </w:r>
      <w:r w:rsidR="00AD15C6" w:rsidRPr="00B46AC9">
        <w:rPr>
          <w:rStyle w:val="normaltextrun"/>
        </w:rPr>
        <w:t>:</w:t>
      </w:r>
    </w:p>
    <w:p w14:paraId="467CE18C" w14:textId="77777777" w:rsidR="00924771" w:rsidRPr="00B46AC9" w:rsidRDefault="00924771" w:rsidP="00EA1817">
      <w:pPr>
        <w:pStyle w:val="paragraph"/>
        <w:numPr>
          <w:ilvl w:val="0"/>
          <w:numId w:val="33"/>
        </w:numPr>
        <w:spacing w:before="120" w:beforeAutospacing="0" w:after="0" w:afterAutospacing="0"/>
        <w:ind w:left="1077" w:hanging="357"/>
        <w:textAlignment w:val="baseline"/>
        <w:rPr>
          <w:rStyle w:val="normaltextrun"/>
        </w:rPr>
      </w:pPr>
      <w:r w:rsidRPr="00B46AC9">
        <w:rPr>
          <w:rStyle w:val="normaltextrun"/>
        </w:rPr>
        <w:t>For an administrative changes, the timelines in the Change Regulation correspond to either immediately (ex-post notification) or 30 days unless rejected (ex-ante notification).</w:t>
      </w:r>
    </w:p>
    <w:p w14:paraId="3FE592E6" w14:textId="77777777" w:rsidR="00924771" w:rsidRPr="00B46AC9" w:rsidRDefault="00924771" w:rsidP="00EA1817">
      <w:pPr>
        <w:pStyle w:val="paragraph"/>
        <w:numPr>
          <w:ilvl w:val="0"/>
          <w:numId w:val="33"/>
        </w:numPr>
        <w:spacing w:before="120" w:beforeAutospacing="0" w:after="0" w:afterAutospacing="0"/>
        <w:ind w:left="1077" w:hanging="357"/>
        <w:textAlignment w:val="baseline"/>
        <w:rPr>
          <w:rStyle w:val="normaltextrun"/>
        </w:rPr>
      </w:pPr>
      <w:r w:rsidRPr="00B46AC9">
        <w:rPr>
          <w:rStyle w:val="normaltextrun"/>
        </w:rPr>
        <w:t xml:space="preserve">For a minor change (no changes in risk and efficacy profile, </w:t>
      </w:r>
      <w:proofErr w:type="gramStart"/>
      <w:r w:rsidRPr="00B46AC9">
        <w:rPr>
          <w:rStyle w:val="normaltextrun"/>
        </w:rPr>
        <w:t>e.g.</w:t>
      </w:r>
      <w:proofErr w:type="gramEnd"/>
      <w:r w:rsidRPr="00B46AC9">
        <w:rPr>
          <w:rStyle w:val="normaltextrun"/>
        </w:rPr>
        <w:t xml:space="preserve"> change in packaging size and material or certain changes in labelling and classification), the procedure can range from +- 195 days to 315 days.</w:t>
      </w:r>
    </w:p>
    <w:p w14:paraId="65414FA1" w14:textId="77777777" w:rsidR="00924771" w:rsidRPr="00B46AC9" w:rsidRDefault="00924771" w:rsidP="00924771">
      <w:pPr>
        <w:pStyle w:val="paragraph"/>
        <w:numPr>
          <w:ilvl w:val="0"/>
          <w:numId w:val="33"/>
        </w:numPr>
        <w:spacing w:before="120" w:beforeAutospacing="0" w:after="120" w:afterAutospacing="0"/>
        <w:textAlignment w:val="baseline"/>
        <w:rPr>
          <w:rStyle w:val="normaltextrun"/>
        </w:rPr>
      </w:pPr>
      <w:r w:rsidRPr="00B46AC9">
        <w:rPr>
          <w:rStyle w:val="normaltextrun"/>
        </w:rPr>
        <w:t>For a major change (such as addition of target organism or extension to non-professional use), the procedure can range from +- 330 days to 450 days.</w:t>
      </w:r>
    </w:p>
    <w:p w14:paraId="5F095F33" w14:textId="234D42D7" w:rsidR="00924771" w:rsidRPr="00B46AC9" w:rsidRDefault="00924771" w:rsidP="00924771">
      <w:pPr>
        <w:pStyle w:val="ListNumber1"/>
        <w:numPr>
          <w:ilvl w:val="0"/>
          <w:numId w:val="33"/>
        </w:numPr>
        <w:spacing w:after="120"/>
        <w:rPr>
          <w:rFonts w:eastAsiaTheme="minorHAnsi"/>
          <w:lang w:eastAsia="en-US"/>
        </w:rPr>
      </w:pPr>
      <w:r w:rsidRPr="00B46AC9">
        <w:rPr>
          <w:rStyle w:val="normaltextrun"/>
        </w:rPr>
        <w:t>In case there is doubt for the qualification of the change, ECHA can deliver its opinion within 45 days of receiving a request. That adds another 45 days to the above timelines.</w:t>
      </w:r>
    </w:p>
    <w:p w14:paraId="1350B52C" w14:textId="36BA1F33" w:rsidR="001E1D2B" w:rsidRPr="00B46AC9" w:rsidRDefault="00924771" w:rsidP="00924771">
      <w:pPr>
        <w:pStyle w:val="ListNumber1"/>
        <w:numPr>
          <w:ilvl w:val="0"/>
          <w:numId w:val="17"/>
        </w:numPr>
        <w:spacing w:after="120"/>
        <w:rPr>
          <w:rStyle w:val="normaltextrun"/>
          <w:rFonts w:eastAsiaTheme="minorHAnsi"/>
          <w:lang w:eastAsia="en-US"/>
        </w:rPr>
      </w:pPr>
      <w:r w:rsidRPr="00B46AC9">
        <w:rPr>
          <w:rStyle w:val="normaltextrun"/>
        </w:rPr>
        <w:t xml:space="preserve">The scenarios set out above for full authorisation or changes in accordance with </w:t>
      </w:r>
      <w:proofErr w:type="spellStart"/>
      <w:r w:rsidRPr="00B46AC9">
        <w:rPr>
          <w:rStyle w:val="normaltextrun"/>
        </w:rPr>
        <w:t>BPR</w:t>
      </w:r>
      <w:proofErr w:type="spellEnd"/>
      <w:r w:rsidRPr="00B46AC9">
        <w:rPr>
          <w:rStyle w:val="normaltextrun"/>
        </w:rPr>
        <w:t xml:space="preserve"> are too long in times of crisis.</w:t>
      </w:r>
    </w:p>
    <w:p w14:paraId="7CB676CB" w14:textId="317F0E76" w:rsidR="00924771" w:rsidRPr="00B46AC9" w:rsidRDefault="008F4275" w:rsidP="00924771">
      <w:pPr>
        <w:pStyle w:val="ListNumber1"/>
        <w:numPr>
          <w:ilvl w:val="0"/>
          <w:numId w:val="17"/>
        </w:numPr>
        <w:spacing w:after="120"/>
        <w:rPr>
          <w:rStyle w:val="normaltextrun"/>
          <w:rFonts w:eastAsiaTheme="minorHAnsi"/>
          <w:lang w:eastAsia="en-US"/>
        </w:rPr>
      </w:pPr>
      <w:r w:rsidRPr="00B46AC9">
        <w:rPr>
          <w:rStyle w:val="normaltextrun"/>
        </w:rPr>
        <w:t xml:space="preserve">There is today no harmonised fast-track procedure provided for in the </w:t>
      </w:r>
      <w:proofErr w:type="spellStart"/>
      <w:r w:rsidRPr="00B46AC9">
        <w:rPr>
          <w:rStyle w:val="normaltextrun"/>
        </w:rPr>
        <w:t>BPR</w:t>
      </w:r>
      <w:proofErr w:type="spellEnd"/>
      <w:r w:rsidRPr="00B46AC9">
        <w:rPr>
          <w:rStyle w:val="normaltextrun"/>
        </w:rPr>
        <w:t xml:space="preserve"> in case of a national or EU-wide or global </w:t>
      </w:r>
      <w:proofErr w:type="gramStart"/>
      <w:r w:rsidRPr="00B46AC9">
        <w:rPr>
          <w:rStyle w:val="normaltextrun"/>
        </w:rPr>
        <w:t>emergency situation</w:t>
      </w:r>
      <w:proofErr w:type="gramEnd"/>
      <w:r w:rsidRPr="00B46AC9">
        <w:rPr>
          <w:rStyle w:val="normaltextrun"/>
        </w:rPr>
        <w:t>. The only option is foreseen in Article 55(1), which allows each Member State to take its own actions and the Commission to prolong those individual Member State actions.</w:t>
      </w:r>
    </w:p>
    <w:p w14:paraId="1DD0343B" w14:textId="77777777" w:rsidR="00594D29" w:rsidRPr="00B46AC9" w:rsidRDefault="00594D29" w:rsidP="00594D29">
      <w:pPr>
        <w:pStyle w:val="ListNumber1"/>
        <w:numPr>
          <w:ilvl w:val="0"/>
          <w:numId w:val="0"/>
        </w:numPr>
        <w:spacing w:after="120"/>
        <w:rPr>
          <w:rFonts w:eastAsiaTheme="minorHAnsi"/>
          <w:lang w:eastAsia="en-US"/>
        </w:rPr>
      </w:pPr>
    </w:p>
    <w:p w14:paraId="5770780D" w14:textId="34986C9B" w:rsidR="00594D29" w:rsidRPr="00B46AC9" w:rsidRDefault="00594D29" w:rsidP="00594D29">
      <w:pPr>
        <w:pStyle w:val="ListNumber1"/>
        <w:numPr>
          <w:ilvl w:val="0"/>
          <w:numId w:val="33"/>
        </w:numPr>
        <w:spacing w:after="120"/>
        <w:rPr>
          <w:rFonts w:eastAsiaTheme="minorHAnsi"/>
          <w:i/>
          <w:iCs/>
          <w:u w:val="single"/>
          <w:lang w:eastAsia="en-US"/>
        </w:rPr>
      </w:pPr>
      <w:r w:rsidRPr="00B46AC9">
        <w:rPr>
          <w:rStyle w:val="eop"/>
          <w:i/>
          <w:u w:val="single"/>
        </w:rPr>
        <w:lastRenderedPageBreak/>
        <w:t xml:space="preserve">Working with existing </w:t>
      </w:r>
      <w:proofErr w:type="spellStart"/>
      <w:r w:rsidRPr="00B46AC9">
        <w:rPr>
          <w:rStyle w:val="eop"/>
          <w:i/>
          <w:u w:val="single"/>
        </w:rPr>
        <w:t>BPR</w:t>
      </w:r>
      <w:proofErr w:type="spellEnd"/>
      <w:r w:rsidRPr="00B46AC9">
        <w:rPr>
          <w:rStyle w:val="eop"/>
          <w:i/>
          <w:u w:val="single"/>
        </w:rPr>
        <w:t xml:space="preserve"> </w:t>
      </w:r>
      <w:r w:rsidRPr="00B46AC9">
        <w:rPr>
          <w:rFonts w:eastAsiaTheme="minorHAnsi"/>
          <w:i/>
          <w:iCs/>
          <w:u w:val="single"/>
          <w:lang w:eastAsia="en-US"/>
        </w:rPr>
        <w:t>Article 55:</w:t>
      </w:r>
    </w:p>
    <w:p w14:paraId="6DA44354" w14:textId="118D78A7" w:rsidR="00AB5AD1" w:rsidRPr="00B46AC9" w:rsidRDefault="00AB5AD1" w:rsidP="00AB5AD1">
      <w:pPr>
        <w:pStyle w:val="ListNumber1"/>
        <w:numPr>
          <w:ilvl w:val="0"/>
          <w:numId w:val="17"/>
        </w:numPr>
        <w:spacing w:after="120"/>
        <w:rPr>
          <w:rStyle w:val="normaltextrun"/>
        </w:rPr>
      </w:pPr>
      <w:r w:rsidRPr="00B46AC9">
        <w:rPr>
          <w:rStyle w:val="normaltextrun"/>
          <w:b/>
          <w:bCs/>
          <w:u w:val="single"/>
        </w:rPr>
        <w:t>Step 1: Member State procedures</w:t>
      </w:r>
    </w:p>
    <w:p w14:paraId="42636571" w14:textId="55DFDDF5" w:rsidR="00846405" w:rsidRPr="00B46AC9" w:rsidRDefault="00846405" w:rsidP="009E7B47">
      <w:pPr>
        <w:pStyle w:val="paragraph"/>
        <w:numPr>
          <w:ilvl w:val="0"/>
          <w:numId w:val="36"/>
        </w:numPr>
        <w:tabs>
          <w:tab w:val="clear" w:pos="1080"/>
          <w:tab w:val="num" w:pos="360"/>
        </w:tabs>
        <w:spacing w:before="0" w:beforeAutospacing="0" w:after="120" w:afterAutospacing="0"/>
        <w:ind w:left="360" w:hanging="357"/>
        <w:rPr>
          <w:rStyle w:val="eop"/>
          <w:b/>
        </w:rPr>
      </w:pPr>
      <w:r w:rsidRPr="00B46AC9">
        <w:rPr>
          <w:rStyle w:val="eop"/>
        </w:rPr>
        <w:t>Member States will aim to install swift procedures under Article 55(1).</w:t>
      </w:r>
    </w:p>
    <w:p w14:paraId="7A376F66" w14:textId="77777777" w:rsidR="00846405" w:rsidRPr="00B46AC9" w:rsidRDefault="00846405" w:rsidP="009E7B47">
      <w:pPr>
        <w:pStyle w:val="paragraph"/>
        <w:numPr>
          <w:ilvl w:val="0"/>
          <w:numId w:val="36"/>
        </w:numPr>
        <w:tabs>
          <w:tab w:val="clear" w:pos="1080"/>
          <w:tab w:val="num" w:pos="360"/>
        </w:tabs>
        <w:spacing w:before="0" w:beforeAutospacing="0" w:after="120" w:afterAutospacing="0"/>
        <w:ind w:left="360" w:hanging="357"/>
        <w:rPr>
          <w:rStyle w:val="eop"/>
          <w:b/>
        </w:rPr>
      </w:pPr>
      <w:r w:rsidRPr="00B46AC9">
        <w:rPr>
          <w:rStyle w:val="eop"/>
        </w:rPr>
        <w:t>Preference is given to notification procedures only.</w:t>
      </w:r>
    </w:p>
    <w:p w14:paraId="3BB9839B" w14:textId="77777777" w:rsidR="00846405" w:rsidRPr="00B46AC9" w:rsidRDefault="00846405" w:rsidP="009E7B47">
      <w:pPr>
        <w:pStyle w:val="paragraph"/>
        <w:numPr>
          <w:ilvl w:val="0"/>
          <w:numId w:val="36"/>
        </w:numPr>
        <w:tabs>
          <w:tab w:val="clear" w:pos="1080"/>
          <w:tab w:val="num" w:pos="360"/>
        </w:tabs>
        <w:spacing w:before="0" w:beforeAutospacing="0" w:after="120" w:afterAutospacing="0"/>
        <w:ind w:left="360" w:hanging="357"/>
        <w:rPr>
          <w:rStyle w:val="eop"/>
          <w:b/>
        </w:rPr>
      </w:pPr>
      <w:r w:rsidRPr="00B46AC9">
        <w:rPr>
          <w:rStyle w:val="eop"/>
        </w:rPr>
        <w:t>In case a registration is required, the following guidance is provided:</w:t>
      </w:r>
    </w:p>
    <w:p w14:paraId="56FAAC58" w14:textId="77777777" w:rsidR="00846405" w:rsidRPr="00B46AC9" w:rsidRDefault="00846405" w:rsidP="009E7B47">
      <w:pPr>
        <w:pStyle w:val="paragraph"/>
        <w:numPr>
          <w:ilvl w:val="0"/>
          <w:numId w:val="37"/>
        </w:numPr>
        <w:spacing w:before="0" w:beforeAutospacing="0" w:after="120" w:afterAutospacing="0"/>
        <w:ind w:hanging="357"/>
        <w:rPr>
          <w:b/>
        </w:rPr>
      </w:pPr>
      <w:r w:rsidRPr="00B46AC9">
        <w:t>A fast-track lane should be applied for in a distinct manner from general authorisation applications.</w:t>
      </w:r>
    </w:p>
    <w:p w14:paraId="69B2A068" w14:textId="77777777" w:rsidR="00846405" w:rsidRPr="00B46AC9" w:rsidRDefault="00846405" w:rsidP="009E7B47">
      <w:pPr>
        <w:pStyle w:val="paragraph"/>
        <w:numPr>
          <w:ilvl w:val="0"/>
          <w:numId w:val="37"/>
        </w:numPr>
        <w:spacing w:before="0" w:beforeAutospacing="0" w:after="120" w:afterAutospacing="0"/>
        <w:ind w:hanging="357"/>
        <w:rPr>
          <w:b/>
        </w:rPr>
      </w:pPr>
      <w:r w:rsidRPr="00B46AC9">
        <w:t xml:space="preserve">A validation phase, including eligibility check for </w:t>
      </w:r>
      <w:proofErr w:type="gramStart"/>
      <w:r w:rsidRPr="00B46AC9">
        <w:t>fast track</w:t>
      </w:r>
      <w:proofErr w:type="gramEnd"/>
      <w:r w:rsidRPr="00B46AC9">
        <w:t xml:space="preserve"> procedure, should be completed within 7 days and the evaluation within 21 days after the validation is completed.</w:t>
      </w:r>
    </w:p>
    <w:p w14:paraId="04C099F7" w14:textId="77777777" w:rsidR="00846405" w:rsidRPr="00B46AC9" w:rsidRDefault="00846405" w:rsidP="009E7B47">
      <w:pPr>
        <w:pStyle w:val="paragraph"/>
        <w:numPr>
          <w:ilvl w:val="0"/>
          <w:numId w:val="37"/>
        </w:numPr>
        <w:spacing w:before="0" w:beforeAutospacing="0" w:after="120" w:afterAutospacing="0"/>
        <w:ind w:hanging="357"/>
        <w:rPr>
          <w:b/>
        </w:rPr>
      </w:pPr>
      <w:r w:rsidRPr="00B46AC9">
        <w:t xml:space="preserve">the CA will authorise the BP and inform the applicant and the other CAs. </w:t>
      </w:r>
    </w:p>
    <w:p w14:paraId="6B6F4F20" w14:textId="77777777" w:rsidR="006B2754" w:rsidRPr="00B46AC9" w:rsidRDefault="006B2754" w:rsidP="008F4275">
      <w:pPr>
        <w:pStyle w:val="ListNumber1"/>
        <w:numPr>
          <w:ilvl w:val="0"/>
          <w:numId w:val="0"/>
        </w:numPr>
        <w:spacing w:after="120"/>
        <w:ind w:left="709" w:hanging="709"/>
        <w:rPr>
          <w:rStyle w:val="normaltextrun"/>
        </w:rPr>
      </w:pPr>
    </w:p>
    <w:p w14:paraId="6B22C89B" w14:textId="75173B62" w:rsidR="00AB5AD1" w:rsidRPr="00B46AC9" w:rsidRDefault="00AB5AD1" w:rsidP="00AB5AD1">
      <w:pPr>
        <w:pStyle w:val="ListNumber1"/>
        <w:numPr>
          <w:ilvl w:val="0"/>
          <w:numId w:val="17"/>
        </w:numPr>
        <w:spacing w:after="120"/>
        <w:rPr>
          <w:rStyle w:val="normaltextrun"/>
        </w:rPr>
      </w:pPr>
      <w:r w:rsidRPr="00B46AC9">
        <w:rPr>
          <w:rStyle w:val="normaltextrun"/>
          <w:b/>
          <w:bCs/>
          <w:u w:val="single"/>
        </w:rPr>
        <w:t>Step 2</w:t>
      </w:r>
    </w:p>
    <w:p w14:paraId="027D3FB7" w14:textId="789C2C24" w:rsidR="00D12793" w:rsidRPr="00B46AC9" w:rsidRDefault="00D12793" w:rsidP="009E7B47">
      <w:pPr>
        <w:pStyle w:val="paragraph"/>
        <w:numPr>
          <w:ilvl w:val="0"/>
          <w:numId w:val="38"/>
        </w:numPr>
        <w:spacing w:before="0" w:beforeAutospacing="0" w:after="120" w:afterAutospacing="0"/>
        <w:ind w:left="357" w:hanging="357"/>
        <w:textAlignment w:val="baseline"/>
        <w:rPr>
          <w:rStyle w:val="eop"/>
        </w:rPr>
      </w:pPr>
      <w:r w:rsidRPr="00B46AC9">
        <w:rPr>
          <w:rStyle w:val="eop"/>
        </w:rPr>
        <w:t>The Commission can prolong all existing national emergency authorisations via one Commission implementing decision</w:t>
      </w:r>
      <w:r w:rsidR="00EF5B87" w:rsidRPr="00B46AC9">
        <w:rPr>
          <w:rStyle w:val="FootnoteReference"/>
        </w:rPr>
        <w:footnoteReference w:id="14"/>
      </w:r>
      <w:r w:rsidRPr="00B46AC9">
        <w:rPr>
          <w:rStyle w:val="eop"/>
        </w:rPr>
        <w:t>.</w:t>
      </w:r>
    </w:p>
    <w:p w14:paraId="1A01F698" w14:textId="77777777" w:rsidR="00D12793" w:rsidRPr="00B46AC9" w:rsidRDefault="00D12793" w:rsidP="009E7B47">
      <w:pPr>
        <w:pStyle w:val="paragraph"/>
        <w:numPr>
          <w:ilvl w:val="0"/>
          <w:numId w:val="38"/>
        </w:numPr>
        <w:spacing w:before="0" w:beforeAutospacing="0" w:after="120" w:afterAutospacing="0"/>
        <w:ind w:left="357" w:hanging="357"/>
        <w:textAlignment w:val="baseline"/>
        <w:rPr>
          <w:rStyle w:val="eop"/>
        </w:rPr>
      </w:pPr>
      <w:r w:rsidRPr="00B46AC9">
        <w:rPr>
          <w:rStyle w:val="eop"/>
        </w:rPr>
        <w:t>In accordance with Art 55(1), the Commission shall decide on extensions without delays.</w:t>
      </w:r>
    </w:p>
    <w:p w14:paraId="585DF804" w14:textId="77777777" w:rsidR="00D12793" w:rsidRPr="00B46AC9" w:rsidRDefault="00D12793" w:rsidP="009E7B47">
      <w:pPr>
        <w:pStyle w:val="paragraph"/>
        <w:numPr>
          <w:ilvl w:val="0"/>
          <w:numId w:val="38"/>
        </w:numPr>
        <w:spacing w:before="0" w:beforeAutospacing="0" w:after="120" w:afterAutospacing="0"/>
        <w:ind w:left="357" w:hanging="357"/>
        <w:textAlignment w:val="baseline"/>
        <w:rPr>
          <w:rStyle w:val="eop"/>
        </w:rPr>
      </w:pPr>
      <w:r w:rsidRPr="00B46AC9">
        <w:rPr>
          <w:rStyle w:val="eop"/>
        </w:rPr>
        <w:t xml:space="preserve">Commission could only do so in case there is still </w:t>
      </w:r>
      <w:proofErr w:type="gramStart"/>
      <w:r w:rsidRPr="00B46AC9">
        <w:rPr>
          <w:rStyle w:val="eop"/>
        </w:rPr>
        <w:t>an emergency situation</w:t>
      </w:r>
      <w:proofErr w:type="gramEnd"/>
      <w:r w:rsidRPr="00B46AC9">
        <w:rPr>
          <w:rStyle w:val="eop"/>
        </w:rPr>
        <w:t xml:space="preserve"> in force in a Member State or EU wide or globally.</w:t>
      </w:r>
    </w:p>
    <w:p w14:paraId="28009748" w14:textId="77777777" w:rsidR="00D12793" w:rsidRPr="00B46AC9" w:rsidRDefault="00D12793" w:rsidP="009E7B47">
      <w:pPr>
        <w:pStyle w:val="paragraph"/>
        <w:numPr>
          <w:ilvl w:val="0"/>
          <w:numId w:val="38"/>
        </w:numPr>
        <w:spacing w:before="0" w:beforeAutospacing="0" w:after="120" w:afterAutospacing="0"/>
        <w:ind w:left="357" w:hanging="357"/>
        <w:textAlignment w:val="baseline"/>
        <w:rPr>
          <w:rStyle w:val="eop"/>
        </w:rPr>
      </w:pPr>
      <w:r w:rsidRPr="00B46AC9">
        <w:rPr>
          <w:rStyle w:val="ui-provider"/>
        </w:rPr>
        <w:t xml:space="preserve">Bearing in mind the efficiencies gained by combining multiple product extensions under one Commission Implementing act, the Commission will track all MS 180-day derogations and co-ordinate with </w:t>
      </w:r>
      <w:proofErr w:type="spellStart"/>
      <w:r w:rsidRPr="00B46AC9">
        <w:rPr>
          <w:rStyle w:val="ui-provider"/>
        </w:rPr>
        <w:t>MSs</w:t>
      </w:r>
      <w:proofErr w:type="spellEnd"/>
      <w:r w:rsidRPr="00B46AC9">
        <w:rPr>
          <w:rStyle w:val="ui-provider"/>
        </w:rPr>
        <w:t>, with a view to assisting in the receipt of reasoned opinions and the swift inclusion of those products in the Commission implementing act.  </w:t>
      </w:r>
    </w:p>
    <w:p w14:paraId="39B8793A" w14:textId="77777777" w:rsidR="00D12793" w:rsidRPr="00B46AC9" w:rsidRDefault="00D12793" w:rsidP="009E7B47">
      <w:pPr>
        <w:pStyle w:val="paragraph"/>
        <w:numPr>
          <w:ilvl w:val="0"/>
          <w:numId w:val="38"/>
        </w:numPr>
        <w:spacing w:before="0" w:beforeAutospacing="0" w:after="120" w:afterAutospacing="0"/>
        <w:ind w:left="357" w:hanging="357"/>
        <w:textAlignment w:val="baseline"/>
        <w:rPr>
          <w:rStyle w:val="eop"/>
        </w:rPr>
      </w:pPr>
      <w:proofErr w:type="gramStart"/>
      <w:r w:rsidRPr="00B46AC9">
        <w:rPr>
          <w:rStyle w:val="eop"/>
        </w:rPr>
        <w:t>In order to</w:t>
      </w:r>
      <w:proofErr w:type="gramEnd"/>
      <w:r w:rsidRPr="00B46AC9">
        <w:rPr>
          <w:rStyle w:val="eop"/>
        </w:rPr>
        <w:t xml:space="preserve"> be included in the emergency authorisation Commission implementing decision, Member States are required to notify products allowed to market under Article 55(1), so that the Commission can easily prolong the authorisation.</w:t>
      </w:r>
    </w:p>
    <w:p w14:paraId="750F7844" w14:textId="77777777" w:rsidR="00D12793" w:rsidRPr="00B46AC9" w:rsidRDefault="00D12793" w:rsidP="009E7B47">
      <w:pPr>
        <w:pStyle w:val="paragraph"/>
        <w:numPr>
          <w:ilvl w:val="0"/>
          <w:numId w:val="38"/>
        </w:numPr>
        <w:spacing w:before="0" w:beforeAutospacing="0" w:after="120" w:afterAutospacing="0"/>
        <w:ind w:left="357" w:hanging="357"/>
        <w:textAlignment w:val="baseline"/>
        <w:rPr>
          <w:rStyle w:val="eop"/>
        </w:rPr>
      </w:pPr>
      <w:r w:rsidRPr="00B46AC9">
        <w:rPr>
          <w:rStyle w:val="eop"/>
        </w:rPr>
        <w:t xml:space="preserve">A database or notification portal is set up by the Commission or ECHA for that purpose. </w:t>
      </w:r>
    </w:p>
    <w:p w14:paraId="6B70B26C" w14:textId="287FB8FD" w:rsidR="008F4275" w:rsidRPr="00B46AC9" w:rsidRDefault="008F4275" w:rsidP="00924771">
      <w:pPr>
        <w:pStyle w:val="ListNumber1"/>
        <w:numPr>
          <w:ilvl w:val="0"/>
          <w:numId w:val="17"/>
        </w:numPr>
        <w:spacing w:after="120"/>
        <w:rPr>
          <w:rFonts w:eastAsiaTheme="minorHAnsi"/>
          <w:lang w:eastAsia="en-US"/>
        </w:rPr>
      </w:pPr>
      <w:r w:rsidRPr="00B46AC9">
        <w:rPr>
          <w:rFonts w:eastAsiaTheme="minorHAnsi"/>
          <w:lang w:eastAsia="en-US"/>
        </w:rPr>
        <w:t xml:space="preserve">No </w:t>
      </w:r>
      <w:r w:rsidRPr="00B46AC9">
        <w:rPr>
          <w:rStyle w:val="eop"/>
        </w:rPr>
        <w:t xml:space="preserve">amendment of the </w:t>
      </w:r>
      <w:proofErr w:type="spellStart"/>
      <w:r w:rsidRPr="00B46AC9">
        <w:rPr>
          <w:rStyle w:val="eop"/>
        </w:rPr>
        <w:t>BPR</w:t>
      </w:r>
      <w:proofErr w:type="spellEnd"/>
      <w:r w:rsidRPr="00B46AC9">
        <w:rPr>
          <w:rStyle w:val="eop"/>
        </w:rPr>
        <w:t xml:space="preserve"> is needed for the implementation of the above.</w:t>
      </w:r>
    </w:p>
    <w:p w14:paraId="66EAF27B" w14:textId="68062022" w:rsidR="000C0E33" w:rsidRPr="00B46AC9" w:rsidRDefault="000C0E33">
      <w:pPr>
        <w:spacing w:after="0"/>
        <w:jc w:val="left"/>
        <w:rPr>
          <w:rFonts w:eastAsiaTheme="minorHAnsi"/>
          <w:lang w:eastAsia="en-US"/>
        </w:rPr>
      </w:pPr>
      <w:r w:rsidRPr="00B46AC9">
        <w:rPr>
          <w:rFonts w:eastAsiaTheme="minorHAnsi"/>
          <w:lang w:eastAsia="en-US"/>
        </w:rPr>
        <w:br w:type="page"/>
      </w:r>
    </w:p>
    <w:p w14:paraId="721CB6D9" w14:textId="77777777" w:rsidR="000C0E33" w:rsidRPr="00F7011A" w:rsidRDefault="000C0E33" w:rsidP="005F253A">
      <w:pPr>
        <w:pStyle w:val="paragraph"/>
        <w:spacing w:before="120" w:beforeAutospacing="0" w:after="0" w:afterAutospacing="0"/>
        <w:jc w:val="center"/>
        <w:textAlignment w:val="baseline"/>
        <w:rPr>
          <w:rStyle w:val="eop"/>
          <w:rFonts w:ascii="Arial" w:eastAsiaTheme="minorHAnsi" w:hAnsi="Arial" w:cstheme="minorBidi"/>
          <w:b/>
          <w:bCs/>
          <w:sz w:val="20"/>
          <w:szCs w:val="22"/>
          <w:lang w:val="fr-BE" w:eastAsia="en-US"/>
        </w:rPr>
      </w:pPr>
      <w:r w:rsidRPr="00F7011A">
        <w:rPr>
          <w:rStyle w:val="eop"/>
          <w:b/>
          <w:bCs/>
          <w:lang w:val="fr-BE"/>
        </w:rPr>
        <w:lastRenderedPageBreak/>
        <w:t xml:space="preserve">Appendix </w:t>
      </w:r>
      <w:proofErr w:type="gramStart"/>
      <w:r w:rsidRPr="00F7011A">
        <w:rPr>
          <w:rStyle w:val="eop"/>
          <w:b/>
          <w:bCs/>
          <w:lang w:val="fr-BE"/>
        </w:rPr>
        <w:t>1:</w:t>
      </w:r>
      <w:proofErr w:type="gramEnd"/>
      <w:r w:rsidRPr="00F7011A">
        <w:rPr>
          <w:rStyle w:val="eop"/>
          <w:b/>
          <w:bCs/>
          <w:lang w:val="fr-BE"/>
        </w:rPr>
        <w:t xml:space="preserve"> EU </w:t>
      </w:r>
      <w:proofErr w:type="spellStart"/>
      <w:r w:rsidRPr="00F7011A">
        <w:rPr>
          <w:rStyle w:val="eop"/>
          <w:b/>
          <w:bCs/>
          <w:lang w:val="fr-BE"/>
        </w:rPr>
        <w:t>template</w:t>
      </w:r>
      <w:proofErr w:type="spellEnd"/>
      <w:r w:rsidRPr="00F7011A">
        <w:rPr>
          <w:rStyle w:val="eop"/>
          <w:b/>
          <w:bCs/>
          <w:lang w:val="fr-BE"/>
        </w:rPr>
        <w:t xml:space="preserve"> for Article 55(1) applications </w:t>
      </w:r>
    </w:p>
    <w:p w14:paraId="529F8729" w14:textId="77777777" w:rsidR="000C0E33" w:rsidRPr="00B46AC9" w:rsidRDefault="000C0E33" w:rsidP="005F253A">
      <w:pPr>
        <w:pStyle w:val="paragraph"/>
        <w:spacing w:before="0" w:beforeAutospacing="0" w:after="120" w:afterAutospacing="0"/>
        <w:jc w:val="center"/>
        <w:textAlignment w:val="baseline"/>
        <w:rPr>
          <w:rStyle w:val="eop"/>
          <w:b/>
          <w:bCs/>
        </w:rPr>
      </w:pPr>
      <w:r w:rsidRPr="00B46AC9">
        <w:rPr>
          <w:rStyle w:val="eop"/>
          <w:b/>
          <w:bCs/>
        </w:rPr>
        <w:t>To be used for new (</w:t>
      </w:r>
      <w:proofErr w:type="gramStart"/>
      <w:r w:rsidRPr="00B46AC9">
        <w:rPr>
          <w:rStyle w:val="eop"/>
          <w:b/>
          <w:bCs/>
        </w:rPr>
        <w:t>i.e.</w:t>
      </w:r>
      <w:proofErr w:type="gramEnd"/>
      <w:r w:rsidRPr="00B46AC9">
        <w:rPr>
          <w:rStyle w:val="eop"/>
          <w:b/>
          <w:bCs/>
        </w:rPr>
        <w:t xml:space="preserve"> not existing) biocidal products</w:t>
      </w:r>
    </w:p>
    <w:p w14:paraId="4D111220" w14:textId="77777777" w:rsidR="000C0E33" w:rsidRPr="00B46AC9" w:rsidRDefault="000C0E33" w:rsidP="000C0E33">
      <w:pPr>
        <w:pStyle w:val="paragraph"/>
        <w:spacing w:before="120" w:beforeAutospacing="0" w:after="120" w:afterAutospacing="0"/>
        <w:jc w:val="center"/>
        <w:textAlignment w:val="baseline"/>
        <w:rPr>
          <w:rStyle w:val="eop"/>
        </w:rPr>
      </w:pPr>
    </w:p>
    <w:p w14:paraId="22F1347C" w14:textId="77777777" w:rsidR="000C0E33" w:rsidRPr="00B46AC9" w:rsidRDefault="000C0E33" w:rsidP="000C0E33">
      <w:pPr>
        <w:pStyle w:val="paragraph"/>
        <w:spacing w:before="120" w:beforeAutospacing="0" w:after="120" w:afterAutospacing="0"/>
        <w:jc w:val="center"/>
        <w:textAlignment w:val="baseline"/>
        <w:rPr>
          <w:rStyle w:val="eop"/>
        </w:rPr>
      </w:pPr>
    </w:p>
    <w:p w14:paraId="1A77513D" w14:textId="77777777" w:rsidR="000C0E33" w:rsidRPr="00B46AC9" w:rsidRDefault="000C0E33" w:rsidP="000C0E33">
      <w:pPr>
        <w:pStyle w:val="paragraph"/>
        <w:spacing w:before="0" w:beforeAutospacing="0" w:after="0" w:afterAutospacing="0"/>
        <w:textAlignment w:val="baseline"/>
        <w:rPr>
          <w:b/>
          <w:bCs/>
        </w:rPr>
      </w:pPr>
      <w:r w:rsidRPr="00B46AC9">
        <w:rPr>
          <w:b/>
          <w:bCs/>
        </w:rPr>
        <w:t>1. Information required for notification:</w:t>
      </w:r>
    </w:p>
    <w:p w14:paraId="6E7462FB" w14:textId="77777777" w:rsidR="000C0E33" w:rsidRPr="00B46AC9" w:rsidRDefault="000C0E33" w:rsidP="000C0E33">
      <w:pPr>
        <w:pStyle w:val="paragraph"/>
        <w:spacing w:before="0" w:beforeAutospacing="0" w:after="0" w:afterAutospacing="0"/>
        <w:textAlignment w:val="baseline"/>
      </w:pPr>
    </w:p>
    <w:p w14:paraId="02061E84" w14:textId="77777777" w:rsidR="000C0E33" w:rsidRPr="00B46AC9" w:rsidRDefault="000C0E33" w:rsidP="000C0E33">
      <w:pPr>
        <w:pStyle w:val="paragraph"/>
        <w:numPr>
          <w:ilvl w:val="0"/>
          <w:numId w:val="31"/>
        </w:numPr>
        <w:spacing w:before="0" w:beforeAutospacing="0" w:after="0" w:afterAutospacing="0"/>
        <w:textAlignment w:val="baseline"/>
      </w:pPr>
      <w:r w:rsidRPr="00B46AC9">
        <w:t xml:space="preserve">Company placing the biocidal product on the </w:t>
      </w:r>
      <w:proofErr w:type="gramStart"/>
      <w:r w:rsidRPr="00B46AC9">
        <w:t>market</w:t>
      </w:r>
      <w:proofErr w:type="gramEnd"/>
    </w:p>
    <w:p w14:paraId="3FCD4DA6" w14:textId="77777777" w:rsidR="000C0E33" w:rsidRPr="00B46AC9" w:rsidRDefault="000C0E33" w:rsidP="000C0E33">
      <w:pPr>
        <w:pStyle w:val="paragraph"/>
        <w:numPr>
          <w:ilvl w:val="0"/>
          <w:numId w:val="32"/>
        </w:numPr>
        <w:spacing w:before="0" w:beforeAutospacing="0" w:after="0" w:afterAutospacing="0"/>
        <w:textAlignment w:val="baseline"/>
      </w:pPr>
      <w:r w:rsidRPr="00B46AC9">
        <w:t xml:space="preserve">Company name, address, contact person, </w:t>
      </w:r>
      <w:proofErr w:type="gramStart"/>
      <w:r w:rsidRPr="00B46AC9">
        <w:t>email</w:t>
      </w:r>
      <w:proofErr w:type="gramEnd"/>
    </w:p>
    <w:p w14:paraId="4228ACC7" w14:textId="77777777" w:rsidR="000C0E33" w:rsidRPr="00B46AC9" w:rsidRDefault="000C0E33" w:rsidP="000C0E33">
      <w:pPr>
        <w:pStyle w:val="paragraph"/>
        <w:spacing w:before="0" w:beforeAutospacing="0" w:after="0" w:afterAutospacing="0"/>
        <w:textAlignment w:val="baseline"/>
      </w:pPr>
    </w:p>
    <w:p w14:paraId="2D79261C" w14:textId="77777777" w:rsidR="000C0E33" w:rsidRPr="00B46AC9" w:rsidRDefault="000C0E33" w:rsidP="000C0E33">
      <w:pPr>
        <w:pStyle w:val="paragraph"/>
        <w:numPr>
          <w:ilvl w:val="0"/>
          <w:numId w:val="30"/>
        </w:numPr>
        <w:spacing w:before="0" w:beforeAutospacing="0" w:after="0" w:afterAutospacing="0"/>
        <w:textAlignment w:val="baseline"/>
      </w:pPr>
      <w:r w:rsidRPr="00B46AC9">
        <w:t>Active substance information:</w:t>
      </w:r>
    </w:p>
    <w:p w14:paraId="1BB7D585" w14:textId="77777777" w:rsidR="000C0E33" w:rsidRPr="00B46AC9" w:rsidRDefault="000C0E33" w:rsidP="000C0E33">
      <w:pPr>
        <w:pStyle w:val="paragraph"/>
        <w:numPr>
          <w:ilvl w:val="0"/>
          <w:numId w:val="32"/>
        </w:numPr>
        <w:spacing w:before="0" w:beforeAutospacing="0" w:after="0" w:afterAutospacing="0"/>
        <w:textAlignment w:val="baseline"/>
      </w:pPr>
      <w:r w:rsidRPr="00B46AC9">
        <w:t>CAS no.</w:t>
      </w:r>
    </w:p>
    <w:p w14:paraId="7686FE85" w14:textId="77777777" w:rsidR="000C0E33" w:rsidRPr="00B46AC9" w:rsidRDefault="000C0E33" w:rsidP="000C0E33">
      <w:pPr>
        <w:pStyle w:val="paragraph"/>
        <w:numPr>
          <w:ilvl w:val="0"/>
          <w:numId w:val="32"/>
        </w:numPr>
        <w:spacing w:before="0" w:beforeAutospacing="0" w:after="0" w:afterAutospacing="0"/>
        <w:textAlignment w:val="baseline"/>
      </w:pPr>
      <w:r w:rsidRPr="00B46AC9">
        <w:t>Supplier (</w:t>
      </w:r>
      <w:proofErr w:type="spellStart"/>
      <w:r w:rsidRPr="00B46AC9">
        <w:t>SDS</w:t>
      </w:r>
      <w:proofErr w:type="spellEnd"/>
      <w:r w:rsidRPr="00B46AC9">
        <w:t>) (source of active substance)</w:t>
      </w:r>
    </w:p>
    <w:p w14:paraId="33DF1ECA" w14:textId="77777777" w:rsidR="000C0E33" w:rsidRPr="00B46AC9" w:rsidRDefault="000C0E33" w:rsidP="000C0E33">
      <w:pPr>
        <w:pStyle w:val="paragraph"/>
        <w:numPr>
          <w:ilvl w:val="0"/>
          <w:numId w:val="32"/>
        </w:numPr>
        <w:spacing w:before="0" w:beforeAutospacing="0" w:after="0" w:afterAutospacing="0"/>
        <w:textAlignment w:val="baseline"/>
      </w:pPr>
      <w:r w:rsidRPr="00B46AC9">
        <w:t>PT</w:t>
      </w:r>
    </w:p>
    <w:p w14:paraId="11AD0992" w14:textId="77777777" w:rsidR="000C0E33" w:rsidRPr="00B46AC9" w:rsidRDefault="000C0E33" w:rsidP="000C0E33">
      <w:pPr>
        <w:pStyle w:val="paragraph"/>
        <w:spacing w:before="0" w:beforeAutospacing="0" w:after="0" w:afterAutospacing="0"/>
        <w:textAlignment w:val="baseline"/>
      </w:pPr>
    </w:p>
    <w:p w14:paraId="3654E5E1" w14:textId="5EC2F179" w:rsidR="000C0E33" w:rsidRPr="00B46AC9" w:rsidRDefault="000C0E33" w:rsidP="00EB4F0D">
      <w:pPr>
        <w:pStyle w:val="paragraph"/>
        <w:numPr>
          <w:ilvl w:val="0"/>
          <w:numId w:val="30"/>
        </w:numPr>
        <w:spacing w:before="0" w:beforeAutospacing="0" w:after="0" w:afterAutospacing="0"/>
        <w:textAlignment w:val="baseline"/>
      </w:pPr>
      <w:r w:rsidRPr="00B46AC9">
        <w:t xml:space="preserve">Compliance Criteria for </w:t>
      </w:r>
      <w:r w:rsidR="00EB4F0D" w:rsidRPr="00B46AC9">
        <w:t>active substances</w:t>
      </w:r>
      <w:r w:rsidRPr="00B46AC9">
        <w:t xml:space="preserve">: </w:t>
      </w:r>
    </w:p>
    <w:p w14:paraId="7203B949" w14:textId="15BF494E" w:rsidR="000C0E33" w:rsidRPr="00B46AC9" w:rsidRDefault="00EB4F0D" w:rsidP="00EB4F0D">
      <w:pPr>
        <w:pStyle w:val="paragraph"/>
        <w:spacing w:before="0" w:beforeAutospacing="0" w:after="0" w:afterAutospacing="0"/>
        <w:textAlignment w:val="baseline"/>
      </w:pPr>
      <w:r w:rsidRPr="00B46AC9">
        <w:t>M</w:t>
      </w:r>
      <w:r w:rsidR="000C0E33" w:rsidRPr="00B46AC9">
        <w:t xml:space="preserve">inimum concentration of active substance to guarantee the </w:t>
      </w:r>
      <w:proofErr w:type="gramStart"/>
      <w:r w:rsidR="000C0E33" w:rsidRPr="00B46AC9">
        <w:t>efficacy</w:t>
      </w:r>
      <w:proofErr w:type="gramEnd"/>
      <w:r w:rsidR="000C0E33" w:rsidRPr="00B46AC9">
        <w:t xml:space="preserve"> </w:t>
      </w:r>
    </w:p>
    <w:p w14:paraId="13E8097A" w14:textId="22003473" w:rsidR="000C0E33" w:rsidRPr="00B46AC9" w:rsidRDefault="00EB4F0D" w:rsidP="000C0E33">
      <w:pPr>
        <w:pStyle w:val="paragraph"/>
        <w:spacing w:before="0" w:beforeAutospacing="0" w:after="0" w:afterAutospacing="0"/>
        <w:textAlignment w:val="baseline"/>
      </w:pPr>
      <w:r w:rsidRPr="00B46AC9">
        <w:t>[</w:t>
      </w:r>
      <w:r w:rsidRPr="00B46AC9">
        <w:rPr>
          <w:highlight w:val="yellow"/>
        </w:rPr>
        <w:t xml:space="preserve">Note: authorities </w:t>
      </w:r>
      <w:r w:rsidR="000C0E33" w:rsidRPr="00B46AC9">
        <w:rPr>
          <w:highlight w:val="yellow"/>
        </w:rPr>
        <w:t xml:space="preserve">to prepare </w:t>
      </w:r>
      <w:r w:rsidR="00A9010D" w:rsidRPr="00B46AC9">
        <w:rPr>
          <w:highlight w:val="yellow"/>
        </w:rPr>
        <w:t xml:space="preserve">at the beginning of the crisis (or ideally before) </w:t>
      </w:r>
      <w:r w:rsidR="000C0E33" w:rsidRPr="00B46AC9">
        <w:rPr>
          <w:highlight w:val="yellow"/>
        </w:rPr>
        <w:t xml:space="preserve">a public list of </w:t>
      </w:r>
      <w:r w:rsidRPr="00B46AC9">
        <w:rPr>
          <w:highlight w:val="yellow"/>
        </w:rPr>
        <w:t>active substances</w:t>
      </w:r>
      <w:r w:rsidR="000C0E33" w:rsidRPr="00B46AC9">
        <w:rPr>
          <w:highlight w:val="yellow"/>
        </w:rPr>
        <w:t xml:space="preserve"> efficacy limits</w:t>
      </w:r>
      <w:r w:rsidR="006A072A" w:rsidRPr="00B46AC9">
        <w:rPr>
          <w:highlight w:val="yellow"/>
        </w:rPr>
        <w:t>?</w:t>
      </w:r>
      <w:r w:rsidR="006A072A" w:rsidRPr="00B46AC9">
        <w:t>]</w:t>
      </w:r>
    </w:p>
    <w:p w14:paraId="47C04CC9" w14:textId="77777777" w:rsidR="000C0E33" w:rsidRPr="00B46AC9" w:rsidRDefault="000C0E33" w:rsidP="000C0E33">
      <w:pPr>
        <w:pStyle w:val="paragraph"/>
        <w:spacing w:after="0"/>
        <w:textAlignment w:val="baseline"/>
      </w:pPr>
    </w:p>
    <w:p w14:paraId="374E8F17" w14:textId="77777777" w:rsidR="000C0E33" w:rsidRPr="00B46AC9" w:rsidRDefault="000C0E33" w:rsidP="000C0E33">
      <w:pPr>
        <w:pStyle w:val="paragraph"/>
        <w:spacing w:before="0" w:beforeAutospacing="0" w:after="0" w:afterAutospacing="0"/>
        <w:textAlignment w:val="baseline"/>
      </w:pPr>
    </w:p>
    <w:p w14:paraId="5BD4378D" w14:textId="77777777" w:rsidR="000C0E33" w:rsidRPr="00B46AC9" w:rsidRDefault="000C0E33" w:rsidP="000C0E33">
      <w:pPr>
        <w:pStyle w:val="paragraph"/>
        <w:numPr>
          <w:ilvl w:val="0"/>
          <w:numId w:val="30"/>
        </w:numPr>
        <w:spacing w:before="0" w:beforeAutospacing="0" w:after="0" w:afterAutospacing="0"/>
        <w:textAlignment w:val="baseline"/>
      </w:pPr>
      <w:r w:rsidRPr="00B46AC9">
        <w:t>Biocidal Product information:</w:t>
      </w:r>
    </w:p>
    <w:p w14:paraId="5261E449" w14:textId="77777777" w:rsidR="000C0E33" w:rsidRPr="00B46AC9" w:rsidRDefault="000C0E33" w:rsidP="000C0E33">
      <w:pPr>
        <w:pStyle w:val="paragraph"/>
        <w:numPr>
          <w:ilvl w:val="0"/>
          <w:numId w:val="32"/>
        </w:numPr>
        <w:spacing w:before="0" w:beforeAutospacing="0" w:after="0" w:afterAutospacing="0"/>
        <w:textAlignment w:val="baseline"/>
      </w:pPr>
      <w:r w:rsidRPr="00B46AC9">
        <w:t xml:space="preserve">Composition 100% (including minimum content for efficacy of the respective active) </w:t>
      </w:r>
    </w:p>
    <w:p w14:paraId="107F92F9" w14:textId="0FB1B5C9" w:rsidR="000C0E33" w:rsidRPr="00B46AC9" w:rsidRDefault="000C0E33" w:rsidP="000C0E33">
      <w:pPr>
        <w:pStyle w:val="paragraph"/>
        <w:numPr>
          <w:ilvl w:val="0"/>
          <w:numId w:val="32"/>
        </w:numPr>
        <w:spacing w:before="0" w:beforeAutospacing="0" w:after="0" w:afterAutospacing="0"/>
        <w:textAlignment w:val="baseline"/>
      </w:pPr>
      <w:proofErr w:type="spellStart"/>
      <w:r w:rsidRPr="00B46AC9">
        <w:t>SDS</w:t>
      </w:r>
      <w:proofErr w:type="spellEnd"/>
      <w:r w:rsidRPr="00B46AC9">
        <w:t xml:space="preserve"> of the Co-Formulants (information on S</w:t>
      </w:r>
      <w:r w:rsidR="00E41550" w:rsidRPr="00B46AC9">
        <w:t>ubstance(s) of Concern (S</w:t>
      </w:r>
      <w:r w:rsidRPr="00B46AC9">
        <w:t>oCs</w:t>
      </w:r>
      <w:r w:rsidR="00E41550" w:rsidRPr="00B46AC9">
        <w:t>)</w:t>
      </w:r>
      <w:r w:rsidRPr="00B46AC9">
        <w:t>)</w:t>
      </w:r>
    </w:p>
    <w:p w14:paraId="093614C1" w14:textId="77777777" w:rsidR="000C0E33" w:rsidRPr="00B46AC9" w:rsidRDefault="000C0E33" w:rsidP="000C0E33">
      <w:pPr>
        <w:pStyle w:val="paragraph"/>
        <w:numPr>
          <w:ilvl w:val="0"/>
          <w:numId w:val="32"/>
        </w:numPr>
        <w:spacing w:before="0" w:beforeAutospacing="0" w:after="0" w:afterAutospacing="0"/>
        <w:textAlignment w:val="baseline"/>
      </w:pPr>
      <w:proofErr w:type="spellStart"/>
      <w:r w:rsidRPr="00B46AC9">
        <w:t>SDS</w:t>
      </w:r>
      <w:proofErr w:type="spellEnd"/>
      <w:r w:rsidRPr="00B46AC9">
        <w:t xml:space="preserve"> of the Biocidal Product</w:t>
      </w:r>
    </w:p>
    <w:p w14:paraId="7AC6EFB9" w14:textId="77777777" w:rsidR="000C0E33" w:rsidRPr="00B46AC9" w:rsidRDefault="000C0E33" w:rsidP="000C0E33">
      <w:pPr>
        <w:pStyle w:val="paragraph"/>
        <w:numPr>
          <w:ilvl w:val="0"/>
          <w:numId w:val="32"/>
        </w:numPr>
        <w:spacing w:before="0" w:beforeAutospacing="0" w:after="0" w:afterAutospacing="0"/>
        <w:textAlignment w:val="baseline"/>
      </w:pPr>
      <w:r w:rsidRPr="00B46AC9">
        <w:t>Label</w:t>
      </w:r>
    </w:p>
    <w:p w14:paraId="1B3BBBB9" w14:textId="77777777" w:rsidR="000C0E33" w:rsidRPr="00B46AC9" w:rsidRDefault="000C0E33" w:rsidP="000C0E33">
      <w:pPr>
        <w:pStyle w:val="paragraph"/>
        <w:spacing w:before="0" w:beforeAutospacing="0" w:after="0" w:afterAutospacing="0"/>
        <w:textAlignment w:val="baseline"/>
      </w:pPr>
    </w:p>
    <w:p w14:paraId="5D9D6665" w14:textId="14690C6F" w:rsidR="000C0E33" w:rsidRPr="00B46AC9" w:rsidRDefault="005042DC" w:rsidP="005042DC">
      <w:pPr>
        <w:pStyle w:val="paragraph"/>
        <w:numPr>
          <w:ilvl w:val="0"/>
          <w:numId w:val="30"/>
        </w:numPr>
        <w:spacing w:before="0" w:beforeAutospacing="0" w:after="0" w:afterAutospacing="0"/>
        <w:textAlignment w:val="baseline"/>
      </w:pPr>
      <w:r w:rsidRPr="00B46AC9">
        <w:t>C</w:t>
      </w:r>
      <w:r w:rsidR="000C0E33" w:rsidRPr="00B46AC9">
        <w:t xml:space="preserve">ompliance criteria for </w:t>
      </w:r>
      <w:r w:rsidRPr="00B46AC9">
        <w:t>Co-Formulants</w:t>
      </w:r>
      <w:r w:rsidR="00F90F50" w:rsidRPr="00B46AC9">
        <w:t>:</w:t>
      </w:r>
    </w:p>
    <w:p w14:paraId="7A6E27C0" w14:textId="20796FA7" w:rsidR="000C0E33" w:rsidRPr="00B46AC9" w:rsidRDefault="00F90F50" w:rsidP="000C0E33">
      <w:pPr>
        <w:pStyle w:val="paragraph"/>
        <w:spacing w:before="0" w:beforeAutospacing="0" w:after="0" w:afterAutospacing="0"/>
        <w:textAlignment w:val="baseline"/>
      </w:pPr>
      <w:r w:rsidRPr="00B46AC9">
        <w:t>S</w:t>
      </w:r>
      <w:r w:rsidR="000C0E33" w:rsidRPr="00B46AC9">
        <w:t>imple formulations with non-hazardous, classified as low hazardous co</w:t>
      </w:r>
      <w:r w:rsidRPr="00B46AC9">
        <w:t>-</w:t>
      </w:r>
      <w:r w:rsidR="000C0E33" w:rsidRPr="00B46AC9">
        <w:t>F</w:t>
      </w:r>
      <w:r w:rsidRPr="00B46AC9">
        <w:t>ormulant</w:t>
      </w:r>
      <w:r w:rsidR="000C0E33" w:rsidRPr="00B46AC9">
        <w:t xml:space="preserve">, no unacceptable risk to human animals and </w:t>
      </w:r>
      <w:proofErr w:type="gramStart"/>
      <w:r w:rsidR="000C0E33" w:rsidRPr="00B46AC9">
        <w:t>environment</w:t>
      </w:r>
      <w:proofErr w:type="gramEnd"/>
      <w:r w:rsidR="000C0E33" w:rsidRPr="00B46AC9">
        <w:t xml:space="preserve"> </w:t>
      </w:r>
    </w:p>
    <w:p w14:paraId="6EF7E2A3" w14:textId="77777777" w:rsidR="000C0E33" w:rsidRPr="00B46AC9" w:rsidRDefault="000C0E33" w:rsidP="000C0E33">
      <w:pPr>
        <w:pStyle w:val="paragraph"/>
        <w:spacing w:before="0" w:beforeAutospacing="0" w:after="0" w:afterAutospacing="0"/>
        <w:textAlignment w:val="baseline"/>
        <w:rPr>
          <w:highlight w:val="yellow"/>
        </w:rPr>
      </w:pPr>
    </w:p>
    <w:p w14:paraId="0EED1E0F" w14:textId="77777777" w:rsidR="00836AE6" w:rsidRPr="00B46AC9" w:rsidRDefault="00836AE6" w:rsidP="000C0E33">
      <w:pPr>
        <w:pStyle w:val="paragraph"/>
        <w:spacing w:before="0" w:beforeAutospacing="0" w:after="0" w:afterAutospacing="0"/>
        <w:textAlignment w:val="baseline"/>
        <w:rPr>
          <w:highlight w:val="yellow"/>
        </w:rPr>
      </w:pPr>
    </w:p>
    <w:p w14:paraId="36BE8B04" w14:textId="77777777" w:rsidR="000C0E33" w:rsidRPr="00B46AC9" w:rsidRDefault="000C0E33" w:rsidP="000C0E33">
      <w:pPr>
        <w:pStyle w:val="paragraph"/>
        <w:spacing w:before="0" w:beforeAutospacing="0" w:after="0" w:afterAutospacing="0"/>
        <w:textAlignment w:val="baseline"/>
      </w:pPr>
    </w:p>
    <w:p w14:paraId="46E7DF69" w14:textId="77777777" w:rsidR="000C0E33" w:rsidRPr="00B46AC9" w:rsidRDefault="000C0E33" w:rsidP="000C0E33">
      <w:pPr>
        <w:pStyle w:val="paragraph"/>
        <w:spacing w:before="0" w:beforeAutospacing="0" w:after="0" w:afterAutospacing="0"/>
        <w:textAlignment w:val="baseline"/>
        <w:rPr>
          <w:b/>
          <w:bCs/>
        </w:rPr>
      </w:pPr>
      <w:r w:rsidRPr="00B46AC9">
        <w:rPr>
          <w:b/>
          <w:bCs/>
        </w:rPr>
        <w:t xml:space="preserve">2. Information required for notification prolongation (in case of continued pandemic): </w:t>
      </w:r>
    </w:p>
    <w:p w14:paraId="48729982" w14:textId="11EB2852" w:rsidR="000C0E33" w:rsidRPr="00B46AC9" w:rsidRDefault="000C0E33" w:rsidP="000C0E33">
      <w:pPr>
        <w:pStyle w:val="paragraph"/>
        <w:spacing w:before="0" w:beforeAutospacing="0" w:after="0" w:afterAutospacing="0"/>
        <w:textAlignment w:val="baseline"/>
      </w:pPr>
      <w:r w:rsidRPr="00B46AC9">
        <w:t>-</w:t>
      </w:r>
      <w:r w:rsidRPr="00B46AC9">
        <w:tab/>
        <w:t>Information on stability</w:t>
      </w:r>
    </w:p>
    <w:p w14:paraId="6F77EC50" w14:textId="0576898A" w:rsidR="000C0E33" w:rsidRPr="00B46AC9" w:rsidRDefault="000C0E33" w:rsidP="000C0E33">
      <w:pPr>
        <w:pStyle w:val="paragraph"/>
        <w:spacing w:before="0" w:beforeAutospacing="0" w:after="0" w:afterAutospacing="0"/>
        <w:textAlignment w:val="baseline"/>
      </w:pPr>
      <w:r w:rsidRPr="00B46AC9">
        <w:t>-</w:t>
      </w:r>
      <w:r w:rsidRPr="00B46AC9">
        <w:tab/>
        <w:t>Information on Efficacy testing</w:t>
      </w:r>
    </w:p>
    <w:p w14:paraId="46B6A78A" w14:textId="77777777" w:rsidR="000C0E33" w:rsidRPr="00B46AC9" w:rsidRDefault="000C0E33" w:rsidP="0031381D">
      <w:pPr>
        <w:pStyle w:val="ListNumber1"/>
        <w:numPr>
          <w:ilvl w:val="0"/>
          <w:numId w:val="0"/>
        </w:numPr>
        <w:spacing w:after="120"/>
        <w:rPr>
          <w:rFonts w:eastAsiaTheme="minorHAnsi"/>
          <w:lang w:eastAsia="en-US"/>
        </w:rPr>
      </w:pPr>
    </w:p>
    <w:p w14:paraId="65445347" w14:textId="77777777" w:rsidR="00867D1F" w:rsidRPr="00B46AC9" w:rsidRDefault="00867D1F" w:rsidP="0031381D">
      <w:pPr>
        <w:pStyle w:val="ListNumber1"/>
        <w:numPr>
          <w:ilvl w:val="0"/>
          <w:numId w:val="0"/>
        </w:numPr>
        <w:spacing w:after="120"/>
        <w:rPr>
          <w:rFonts w:eastAsiaTheme="minorHAnsi"/>
          <w:lang w:eastAsia="en-US"/>
        </w:rPr>
      </w:pPr>
    </w:p>
    <w:sectPr w:rsidR="00867D1F" w:rsidRPr="00B46AC9" w:rsidSect="0031381D">
      <w:headerReference w:type="even" r:id="rId14"/>
      <w:headerReference w:type="default" r:id="rId15"/>
      <w:footerReference w:type="even" r:id="rId16"/>
      <w:footerReference w:type="default" r:id="rId17"/>
      <w:headerReference w:type="first" r:id="rId18"/>
      <w:footerReference w:type="first" r:id="rId19"/>
      <w:pgSz w:w="11906" w:h="16838"/>
      <w:pgMar w:top="1021" w:right="1701" w:bottom="1021" w:left="1588"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C8536" w14:textId="77777777" w:rsidR="00413FD0" w:rsidRDefault="00413FD0">
      <w:pPr>
        <w:spacing w:after="0"/>
      </w:pPr>
      <w:r>
        <w:separator/>
      </w:r>
    </w:p>
  </w:endnote>
  <w:endnote w:type="continuationSeparator" w:id="0">
    <w:p w14:paraId="7EBE2FD9" w14:textId="77777777" w:rsidR="00413FD0" w:rsidRDefault="00413FD0">
      <w:pPr>
        <w:spacing w:after="0"/>
      </w:pPr>
      <w:r>
        <w:continuationSeparator/>
      </w:r>
    </w:p>
  </w:endnote>
  <w:endnote w:type="continuationNotice" w:id="1">
    <w:p w14:paraId="3938E492" w14:textId="77777777" w:rsidR="00413FD0" w:rsidRDefault="00413F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07E2E" w14:textId="77777777" w:rsidR="00BC562E" w:rsidRDefault="00BC56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B4E79" w14:textId="77777777" w:rsidR="00BC562E" w:rsidRDefault="00BC56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61C4F" w14:textId="77777777" w:rsidR="00BC562E" w:rsidRDefault="00BC56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27F19" w14:textId="77777777" w:rsidR="00413FD0" w:rsidRDefault="00413FD0">
      <w:pPr>
        <w:spacing w:after="0"/>
      </w:pPr>
      <w:r>
        <w:separator/>
      </w:r>
    </w:p>
  </w:footnote>
  <w:footnote w:type="continuationSeparator" w:id="0">
    <w:p w14:paraId="5055170D" w14:textId="77777777" w:rsidR="00413FD0" w:rsidRDefault="00413FD0">
      <w:pPr>
        <w:spacing w:after="0"/>
      </w:pPr>
      <w:r>
        <w:continuationSeparator/>
      </w:r>
    </w:p>
  </w:footnote>
  <w:footnote w:type="continuationNotice" w:id="1">
    <w:p w14:paraId="2FCE0E66" w14:textId="77777777" w:rsidR="00413FD0" w:rsidRDefault="00413FD0">
      <w:pPr>
        <w:spacing w:after="0"/>
      </w:pPr>
    </w:p>
  </w:footnote>
  <w:footnote w:id="2">
    <w:p w14:paraId="49D3F172" w14:textId="79994B13" w:rsidR="001B340F" w:rsidRPr="001B340F" w:rsidRDefault="001B340F" w:rsidP="005C6D1B">
      <w:pPr>
        <w:pStyle w:val="FootnoteText"/>
        <w:spacing w:after="0"/>
        <w:ind w:left="0" w:firstLine="0"/>
        <w:rPr>
          <w:lang w:val="en-US"/>
        </w:rPr>
      </w:pPr>
      <w:r>
        <w:rPr>
          <w:rStyle w:val="FootnoteReference"/>
        </w:rPr>
        <w:footnoteRef/>
      </w:r>
      <w:r>
        <w:t xml:space="preserve"> PT1</w:t>
      </w:r>
      <w:r w:rsidR="0058616F">
        <w:t xml:space="preserve"> - </w:t>
      </w:r>
      <w:r w:rsidR="0058616F" w:rsidRPr="00F2590C">
        <w:t>Human hygien</w:t>
      </w:r>
      <w:r w:rsidR="000902EE">
        <w:t>e</w:t>
      </w:r>
    </w:p>
  </w:footnote>
  <w:footnote w:id="3">
    <w:p w14:paraId="34AD07A0" w14:textId="0B1A8FDE" w:rsidR="001B340F" w:rsidRPr="001B340F" w:rsidRDefault="001B340F" w:rsidP="005C6D1B">
      <w:pPr>
        <w:pStyle w:val="FootnoteText"/>
        <w:spacing w:after="0"/>
        <w:rPr>
          <w:lang w:val="en-US"/>
        </w:rPr>
      </w:pPr>
      <w:r>
        <w:rPr>
          <w:rStyle w:val="FootnoteReference"/>
        </w:rPr>
        <w:footnoteRef/>
      </w:r>
      <w:r>
        <w:t xml:space="preserve"> </w:t>
      </w:r>
      <w:r>
        <w:rPr>
          <w:lang w:val="en-US"/>
        </w:rPr>
        <w:t xml:space="preserve">PT2 </w:t>
      </w:r>
      <w:r w:rsidR="0058616F">
        <w:rPr>
          <w:lang w:val="en-US"/>
        </w:rPr>
        <w:t xml:space="preserve">- </w:t>
      </w:r>
      <w:r w:rsidR="0058616F" w:rsidRPr="0058616F">
        <w:rPr>
          <w:lang w:val="en-US"/>
        </w:rPr>
        <w:t xml:space="preserve">Disinfectants and algaecides not intended for direct application to humans or animals. </w:t>
      </w:r>
    </w:p>
  </w:footnote>
  <w:footnote w:id="4">
    <w:p w14:paraId="12422A11" w14:textId="4ED6BEEA" w:rsidR="0058616F" w:rsidRPr="0058616F" w:rsidRDefault="0058616F" w:rsidP="005C6D1B">
      <w:pPr>
        <w:pStyle w:val="FootnoteText"/>
        <w:spacing w:after="0"/>
        <w:ind w:left="0" w:firstLine="0"/>
        <w:rPr>
          <w:lang w:val="en-US"/>
        </w:rPr>
      </w:pPr>
      <w:r>
        <w:rPr>
          <w:rStyle w:val="FootnoteReference"/>
        </w:rPr>
        <w:footnoteRef/>
      </w:r>
      <w:r>
        <w:t xml:space="preserve"> </w:t>
      </w:r>
      <w:r w:rsidRPr="0058616F">
        <w:t xml:space="preserve">Article 55(1) notifications by Member States, available at: </w:t>
      </w:r>
      <w:hyperlink r:id="rId1" w:history="1">
        <w:r w:rsidRPr="000A5ACF">
          <w:rPr>
            <w:rStyle w:val="Hyperlink"/>
          </w:rPr>
          <w:t>https://circabc.europa.eu/ui/group/e947a950-8032-4df9-a3f0-f61eefd3d81b/library/47c6e2b3-27a1-4137-83e4-9605a64e2de7?p=1&amp;n=10&amp;sort=modified_DESC</w:t>
        </w:r>
      </w:hyperlink>
      <w:r>
        <w:t xml:space="preserve"> </w:t>
      </w:r>
    </w:p>
  </w:footnote>
  <w:footnote w:id="5">
    <w:p w14:paraId="403FF2C8" w14:textId="7A5CA576" w:rsidR="0058616F" w:rsidRPr="0058616F" w:rsidRDefault="0058616F" w:rsidP="005C6D1B">
      <w:pPr>
        <w:pStyle w:val="FootnoteText"/>
        <w:spacing w:after="0"/>
        <w:rPr>
          <w:lang w:val="en-US"/>
        </w:rPr>
      </w:pPr>
      <w:r>
        <w:rPr>
          <w:rStyle w:val="FootnoteReference"/>
        </w:rPr>
        <w:footnoteRef/>
      </w:r>
      <w:r>
        <w:t xml:space="preserve"> Article 1 of the </w:t>
      </w:r>
      <w:proofErr w:type="spellStart"/>
      <w:r>
        <w:t>BPR</w:t>
      </w:r>
      <w:proofErr w:type="spellEnd"/>
      <w:r>
        <w:t>.</w:t>
      </w:r>
    </w:p>
  </w:footnote>
  <w:footnote w:id="6">
    <w:p w14:paraId="37A7A786" w14:textId="54FE975B" w:rsidR="00B4165D" w:rsidRPr="00B4165D" w:rsidRDefault="00B4165D" w:rsidP="00BC1D7A">
      <w:pPr>
        <w:pStyle w:val="FootnoteText"/>
        <w:spacing w:after="0"/>
        <w:ind w:left="0" w:firstLine="0"/>
        <w:rPr>
          <w:lang w:val="en-US"/>
        </w:rPr>
      </w:pPr>
      <w:r>
        <w:rPr>
          <w:rStyle w:val="FootnoteReference"/>
        </w:rPr>
        <w:footnoteRef/>
      </w:r>
      <w:r>
        <w:t xml:space="preserve"> </w:t>
      </w:r>
      <w:proofErr w:type="gramStart"/>
      <w:r w:rsidRPr="00B4165D">
        <w:t>i.e.</w:t>
      </w:r>
      <w:proofErr w:type="gramEnd"/>
      <w:r w:rsidRPr="00B4165D">
        <w:t xml:space="preserve"> </w:t>
      </w:r>
      <w:r w:rsidRPr="00B4165D">
        <w:rPr>
          <w:i/>
          <w:iCs/>
        </w:rPr>
        <w:t>“any supply of a biocidal product or of a treated article for distribution or use in the course of a commercial activity, whether in return for payment or free of charge”</w:t>
      </w:r>
      <w:r w:rsidRPr="00B4165D">
        <w:t xml:space="preserve"> (Article 3(1)(</w:t>
      </w:r>
      <w:proofErr w:type="spellStart"/>
      <w:r w:rsidRPr="00B4165D">
        <w:t>i</w:t>
      </w:r>
      <w:proofErr w:type="spellEnd"/>
      <w:r w:rsidRPr="00B4165D">
        <w:t xml:space="preserve">) of the </w:t>
      </w:r>
      <w:proofErr w:type="spellStart"/>
      <w:r w:rsidRPr="00B4165D">
        <w:t>BPR</w:t>
      </w:r>
      <w:proofErr w:type="spellEnd"/>
      <w:r w:rsidRPr="00B4165D">
        <w:t>)</w:t>
      </w:r>
    </w:p>
  </w:footnote>
  <w:footnote w:id="7">
    <w:p w14:paraId="48A20182" w14:textId="48431B25" w:rsidR="00B4165D" w:rsidRPr="00B4165D" w:rsidRDefault="00B4165D" w:rsidP="00BC1D7A">
      <w:pPr>
        <w:pStyle w:val="FootnoteText"/>
        <w:spacing w:after="0"/>
        <w:ind w:left="0" w:firstLine="0"/>
        <w:rPr>
          <w:lang w:val="en-US"/>
        </w:rPr>
      </w:pPr>
      <w:r>
        <w:rPr>
          <w:rStyle w:val="FootnoteReference"/>
        </w:rPr>
        <w:footnoteRef/>
      </w:r>
      <w:r>
        <w:t xml:space="preserve"> </w:t>
      </w:r>
      <w:proofErr w:type="gramStart"/>
      <w:r w:rsidRPr="00FB45B4">
        <w:t>i.e.</w:t>
      </w:r>
      <w:proofErr w:type="gramEnd"/>
      <w:r w:rsidRPr="00FB45B4">
        <w:t xml:space="preserve"> </w:t>
      </w:r>
      <w:r>
        <w:t>“</w:t>
      </w:r>
      <w:r w:rsidRPr="00FB45B4">
        <w:rPr>
          <w:i/>
        </w:rPr>
        <w:t>all operations carried out with a biocidal product, including storage, handling, mixing and application, except any such operation carried out with a view to exporting the biocidal product or the treated article outside the Union;</w:t>
      </w:r>
      <w:r>
        <w:t xml:space="preserve">” (Article 3(1)(k) of the </w:t>
      </w:r>
      <w:proofErr w:type="spellStart"/>
      <w:r>
        <w:t>BPR</w:t>
      </w:r>
      <w:proofErr w:type="spellEnd"/>
      <w:r>
        <w:t>)</w:t>
      </w:r>
    </w:p>
  </w:footnote>
  <w:footnote w:id="8">
    <w:p w14:paraId="5B0334F7" w14:textId="4A9446FB" w:rsidR="00B4165D" w:rsidRPr="00B4165D" w:rsidRDefault="00B4165D" w:rsidP="00BC1D7A">
      <w:pPr>
        <w:pStyle w:val="FootnoteText"/>
        <w:spacing w:after="0"/>
        <w:rPr>
          <w:lang w:val="en-US"/>
        </w:rPr>
      </w:pPr>
      <w:r>
        <w:rPr>
          <w:rStyle w:val="FootnoteReference"/>
        </w:rPr>
        <w:footnoteRef/>
      </w:r>
      <w:r>
        <w:t xml:space="preserve"> </w:t>
      </w:r>
      <w:r w:rsidRPr="00FB45B4">
        <w:t xml:space="preserve">Article 17(1) of the </w:t>
      </w:r>
      <w:proofErr w:type="spellStart"/>
      <w:r w:rsidRPr="00FB45B4">
        <w:t>BPR</w:t>
      </w:r>
      <w:proofErr w:type="spellEnd"/>
    </w:p>
  </w:footnote>
  <w:footnote w:id="9">
    <w:p w14:paraId="5B1A6476" w14:textId="6992DC06" w:rsidR="00B4165D" w:rsidRPr="00B4165D" w:rsidRDefault="00B4165D" w:rsidP="00BC1D7A">
      <w:pPr>
        <w:pStyle w:val="FootnoteText"/>
        <w:spacing w:after="0"/>
        <w:rPr>
          <w:lang w:val="en-US"/>
        </w:rPr>
      </w:pPr>
      <w:r>
        <w:rPr>
          <w:rStyle w:val="FootnoteReference"/>
        </w:rPr>
        <w:footnoteRef/>
      </w:r>
      <w:r>
        <w:t xml:space="preserve"> </w:t>
      </w:r>
      <w:r w:rsidRPr="00FB45B4">
        <w:t xml:space="preserve">Articles 55 and 56 of the </w:t>
      </w:r>
      <w:proofErr w:type="spellStart"/>
      <w:r w:rsidRPr="00FB45B4">
        <w:t>BPR</w:t>
      </w:r>
      <w:proofErr w:type="spellEnd"/>
    </w:p>
  </w:footnote>
  <w:footnote w:id="10">
    <w:p w14:paraId="5532E2E4" w14:textId="367D6962" w:rsidR="00BA5281" w:rsidRPr="00BA5281" w:rsidRDefault="00BA5281" w:rsidP="0075211A">
      <w:pPr>
        <w:pStyle w:val="FootnoteText"/>
        <w:spacing w:after="0"/>
        <w:rPr>
          <w:lang w:val="en-US"/>
        </w:rPr>
      </w:pPr>
      <w:r>
        <w:rPr>
          <w:rStyle w:val="FootnoteReference"/>
        </w:rPr>
        <w:footnoteRef/>
      </w:r>
      <w:r>
        <w:t xml:space="preserve"> </w:t>
      </w:r>
      <w:proofErr w:type="gramStart"/>
      <w:r w:rsidRPr="008A72AF">
        <w:rPr>
          <w:sz w:val="16"/>
          <w:szCs w:val="16"/>
        </w:rPr>
        <w:t>In particular Articles</w:t>
      </w:r>
      <w:proofErr w:type="gramEnd"/>
      <w:r w:rsidRPr="008A72AF">
        <w:rPr>
          <w:sz w:val="16"/>
          <w:szCs w:val="16"/>
        </w:rPr>
        <w:t xml:space="preserve"> 29 and 30 </w:t>
      </w:r>
      <w:r>
        <w:rPr>
          <w:sz w:val="16"/>
          <w:szCs w:val="16"/>
        </w:rPr>
        <w:t xml:space="preserve">of the </w:t>
      </w:r>
      <w:proofErr w:type="spellStart"/>
      <w:r w:rsidRPr="008A72AF">
        <w:rPr>
          <w:sz w:val="16"/>
          <w:szCs w:val="16"/>
        </w:rPr>
        <w:t>BPR</w:t>
      </w:r>
      <w:proofErr w:type="spellEnd"/>
    </w:p>
  </w:footnote>
  <w:footnote w:id="11">
    <w:p w14:paraId="77B78AB2" w14:textId="6A4216AE" w:rsidR="00934D89" w:rsidRPr="00934D89" w:rsidRDefault="00934D89" w:rsidP="0075211A">
      <w:pPr>
        <w:pStyle w:val="FootnoteText"/>
        <w:spacing w:after="0"/>
        <w:rPr>
          <w:lang w:val="en-US"/>
        </w:rPr>
      </w:pPr>
      <w:r>
        <w:rPr>
          <w:rStyle w:val="FootnoteReference"/>
        </w:rPr>
        <w:footnoteRef/>
      </w:r>
      <w:r>
        <w:t xml:space="preserve"> </w:t>
      </w:r>
      <w:proofErr w:type="gramStart"/>
      <w:r w:rsidRPr="008A72AF">
        <w:rPr>
          <w:sz w:val="16"/>
          <w:szCs w:val="16"/>
        </w:rPr>
        <w:t>In particular Articles</w:t>
      </w:r>
      <w:proofErr w:type="gramEnd"/>
      <w:r w:rsidRPr="008A72AF">
        <w:rPr>
          <w:sz w:val="16"/>
          <w:szCs w:val="16"/>
        </w:rPr>
        <w:t xml:space="preserve"> 34 and 35 </w:t>
      </w:r>
      <w:r>
        <w:rPr>
          <w:sz w:val="16"/>
          <w:szCs w:val="16"/>
        </w:rPr>
        <w:t xml:space="preserve">of the </w:t>
      </w:r>
      <w:proofErr w:type="spellStart"/>
      <w:r w:rsidRPr="008A72AF">
        <w:rPr>
          <w:sz w:val="16"/>
          <w:szCs w:val="16"/>
        </w:rPr>
        <w:t>BPR</w:t>
      </w:r>
      <w:proofErr w:type="spellEnd"/>
    </w:p>
  </w:footnote>
  <w:footnote w:id="12">
    <w:p w14:paraId="2C4ED38A" w14:textId="731A3914" w:rsidR="00934D89" w:rsidRPr="00934D89" w:rsidRDefault="00934D89" w:rsidP="0075211A">
      <w:pPr>
        <w:pStyle w:val="FootnoteText"/>
        <w:spacing w:after="0"/>
        <w:rPr>
          <w:lang w:val="en-US"/>
        </w:rPr>
      </w:pPr>
      <w:r>
        <w:rPr>
          <w:rStyle w:val="FootnoteReference"/>
        </w:rPr>
        <w:footnoteRef/>
      </w:r>
      <w:r>
        <w:t xml:space="preserve"> </w:t>
      </w:r>
      <w:proofErr w:type="gramStart"/>
      <w:r w:rsidRPr="001C3671">
        <w:rPr>
          <w:sz w:val="16"/>
          <w:szCs w:val="16"/>
        </w:rPr>
        <w:t>In particular Articles</w:t>
      </w:r>
      <w:proofErr w:type="gramEnd"/>
      <w:r w:rsidRPr="001C3671">
        <w:rPr>
          <w:sz w:val="16"/>
          <w:szCs w:val="16"/>
        </w:rPr>
        <w:t xml:space="preserve"> 43 and 44 </w:t>
      </w:r>
      <w:r>
        <w:rPr>
          <w:sz w:val="16"/>
          <w:szCs w:val="16"/>
        </w:rPr>
        <w:t xml:space="preserve">of the </w:t>
      </w:r>
      <w:proofErr w:type="spellStart"/>
      <w:r w:rsidRPr="001C3671">
        <w:rPr>
          <w:sz w:val="16"/>
          <w:szCs w:val="16"/>
        </w:rPr>
        <w:t>BPR</w:t>
      </w:r>
      <w:proofErr w:type="spellEnd"/>
    </w:p>
  </w:footnote>
  <w:footnote w:id="13">
    <w:p w14:paraId="4E72C238" w14:textId="0C412033" w:rsidR="00D60776" w:rsidRPr="00D60776" w:rsidRDefault="00D60776" w:rsidP="0075211A">
      <w:pPr>
        <w:pStyle w:val="FootnoteText"/>
        <w:spacing w:after="0"/>
        <w:rPr>
          <w:lang w:val="en-US"/>
        </w:rPr>
      </w:pPr>
      <w:r>
        <w:rPr>
          <w:rStyle w:val="FootnoteReference"/>
        </w:rPr>
        <w:footnoteRef/>
      </w:r>
      <w:r>
        <w:t xml:space="preserve"> </w:t>
      </w:r>
      <w:r w:rsidRPr="001C3671">
        <w:rPr>
          <w:sz w:val="16"/>
          <w:szCs w:val="16"/>
        </w:rPr>
        <w:t xml:space="preserve">Commission Implementing Regulation (EU) No 354/2013 on changes of biocidal products authorised, OJ L 109, 19.4.2013, p. </w:t>
      </w:r>
      <w:proofErr w:type="gramStart"/>
      <w:r w:rsidRPr="001C3671">
        <w:rPr>
          <w:sz w:val="16"/>
          <w:szCs w:val="16"/>
        </w:rPr>
        <w:t>4</w:t>
      </w:r>
      <w:proofErr w:type="gramEnd"/>
    </w:p>
  </w:footnote>
  <w:footnote w:id="14">
    <w:p w14:paraId="1A5669AD" w14:textId="1F0138EC" w:rsidR="00EF5B87" w:rsidRPr="00EF5B87" w:rsidRDefault="00EF5B87">
      <w:pPr>
        <w:pStyle w:val="FootnoteText"/>
        <w:rPr>
          <w:lang w:val="en-US"/>
        </w:rPr>
      </w:pPr>
      <w:r>
        <w:rPr>
          <w:rStyle w:val="FootnoteReference"/>
        </w:rPr>
        <w:footnoteRef/>
      </w:r>
      <w:r>
        <w:t xml:space="preserve"> </w:t>
      </w:r>
      <w:r w:rsidRPr="001C3671">
        <w:rPr>
          <w:sz w:val="16"/>
          <w:szCs w:val="16"/>
        </w:rPr>
        <w:t xml:space="preserve">Article 82(3) </w:t>
      </w:r>
      <w:r>
        <w:rPr>
          <w:sz w:val="16"/>
          <w:szCs w:val="16"/>
        </w:rPr>
        <w:t xml:space="preserve">of the </w:t>
      </w:r>
      <w:proofErr w:type="spellStart"/>
      <w:r w:rsidRPr="001C3671">
        <w:rPr>
          <w:sz w:val="16"/>
          <w:szCs w:val="16"/>
        </w:rPr>
        <w:t>BPR</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E3732" w14:textId="311878A9" w:rsidR="00BC562E" w:rsidRDefault="00BC56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8F7AA" w14:textId="25757851" w:rsidR="00BC562E" w:rsidRDefault="00BC56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60785"/>
      <w:docPartObj>
        <w:docPartGallery w:val="Watermarks"/>
        <w:docPartUnique/>
      </w:docPartObj>
    </w:sdtPr>
    <w:sdtEndPr/>
    <w:sdtContent>
      <w:p w14:paraId="4B894429" w14:textId="595DD19F" w:rsidR="00515208" w:rsidRPr="00515208" w:rsidRDefault="00611F29" w:rsidP="00515208">
        <w:pPr>
          <w:pStyle w:val="Header"/>
        </w:pPr>
        <w:r>
          <w:rPr>
            <w:noProof/>
          </w:rPr>
          <w:pict w14:anchorId="5041FD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0"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3A3A"/>
    <w:multiLevelType w:val="hybridMultilevel"/>
    <w:tmpl w:val="8D581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C21EE7"/>
    <w:multiLevelType w:val="multilevel"/>
    <w:tmpl w:val="7C0A278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A2900F7"/>
    <w:multiLevelType w:val="multilevel"/>
    <w:tmpl w:val="971A380C"/>
    <w:name w:val="ListDash4Numbering"/>
    <w:lvl w:ilvl="0">
      <w:start w:val="1"/>
      <w:numFmt w:val="bullet"/>
      <w:pStyle w:val="ListDash4"/>
      <w:lvlText w:val="–"/>
      <w:lvlJc w:val="left"/>
      <w:pPr>
        <w:tabs>
          <w:tab w:val="num" w:pos="1712"/>
        </w:tabs>
        <w:ind w:left="1712" w:hanging="283"/>
      </w:pPr>
      <w:rPr>
        <w:rFonts w:ascii="Times New Roman" w:hAnsi="Times New Roman"/>
      </w:rPr>
    </w:lvl>
    <w:lvl w:ilvl="1">
      <w:start w:val="1"/>
      <w:numFmt w:val="bullet"/>
      <w:pStyle w:val="ListDash4Level2"/>
      <w:lvlText w:val="–"/>
      <w:lvlJc w:val="left"/>
      <w:pPr>
        <w:tabs>
          <w:tab w:val="num" w:pos="1996"/>
        </w:tabs>
        <w:ind w:left="1996" w:hanging="284"/>
      </w:pPr>
      <w:rPr>
        <w:rFonts w:ascii="Times New Roman" w:hAnsi="Times New Roman"/>
      </w:rPr>
    </w:lvl>
    <w:lvl w:ilvl="2">
      <w:start w:val="1"/>
      <w:numFmt w:val="bullet"/>
      <w:pStyle w:val="ListDash4Level3"/>
      <w:lvlText w:val="–"/>
      <w:lvlJc w:val="left"/>
      <w:pPr>
        <w:tabs>
          <w:tab w:val="num" w:pos="2279"/>
        </w:tabs>
        <w:ind w:left="2279" w:hanging="283"/>
      </w:pPr>
      <w:rPr>
        <w:rFonts w:ascii="Times New Roman" w:hAnsi="Times New Roman"/>
      </w:rPr>
    </w:lvl>
    <w:lvl w:ilvl="3">
      <w:start w:val="1"/>
      <w:numFmt w:val="bullet"/>
      <w:pStyle w:val="ListDash4Level4"/>
      <w:lvlText w:val="–"/>
      <w:lvlJc w:val="left"/>
      <w:pPr>
        <w:tabs>
          <w:tab w:val="num" w:pos="2563"/>
        </w:tabs>
        <w:ind w:left="2563"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DB16BF6"/>
    <w:multiLevelType w:val="hybridMultilevel"/>
    <w:tmpl w:val="1D7C7794"/>
    <w:lvl w:ilvl="0" w:tplc="671E7162">
      <w:start w:val="1"/>
      <w:numFmt w:val="lowerRoman"/>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EFB7115"/>
    <w:multiLevelType w:val="multilevel"/>
    <w:tmpl w:val="BB5C2824"/>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53B81422"/>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3F4333E"/>
    <w:multiLevelType w:val="multilevel"/>
    <w:tmpl w:val="0ADE4FEC"/>
    <w:styleLink w:val="NumbListNumberedList"/>
    <w:lvl w:ilvl="0">
      <w:start w:val="1"/>
      <w:numFmt w:val="decimal"/>
      <w:pStyle w:val="FFWNumberedList"/>
      <w:lvlText w:val="%1."/>
      <w:lvlJc w:val="left"/>
      <w:pPr>
        <w:tabs>
          <w:tab w:val="num" w:pos="794"/>
        </w:tabs>
        <w:ind w:left="794" w:hanging="794"/>
      </w:pPr>
      <w:rPr>
        <w:rFonts w:hint="default"/>
      </w:rPr>
    </w:lvl>
    <w:lvl w:ilvl="1">
      <w:start w:val="1"/>
      <w:numFmt w:val="decimal"/>
      <w:lvlText w:val="%2."/>
      <w:lvlJc w:val="left"/>
      <w:pPr>
        <w:tabs>
          <w:tab w:val="num" w:pos="1588"/>
        </w:tabs>
        <w:ind w:left="1588" w:hanging="794"/>
      </w:pPr>
      <w:rPr>
        <w:rFonts w:hint="default"/>
      </w:rPr>
    </w:lvl>
    <w:lvl w:ilvl="2">
      <w:start w:val="1"/>
      <w:numFmt w:val="decimal"/>
      <w:lvlText w:val="%3."/>
      <w:lvlJc w:val="left"/>
      <w:pPr>
        <w:tabs>
          <w:tab w:val="num" w:pos="2381"/>
        </w:tabs>
        <w:ind w:left="2381" w:hanging="793"/>
      </w:pPr>
      <w:rPr>
        <w:rFonts w:hint="default"/>
      </w:rPr>
    </w:lvl>
    <w:lvl w:ilvl="3">
      <w:start w:val="1"/>
      <w:numFmt w:val="decimal"/>
      <w:lvlText w:val="%4."/>
      <w:lvlJc w:val="left"/>
      <w:pPr>
        <w:tabs>
          <w:tab w:val="num" w:pos="3175"/>
        </w:tabs>
        <w:ind w:left="3175" w:hanging="794"/>
      </w:pPr>
      <w:rPr>
        <w:rFonts w:hint="default"/>
      </w:rPr>
    </w:lvl>
    <w:lvl w:ilvl="4">
      <w:start w:val="1"/>
      <w:numFmt w:val="decimal"/>
      <w:lvlText w:val="%5."/>
      <w:lvlJc w:val="left"/>
      <w:pPr>
        <w:tabs>
          <w:tab w:val="num" w:pos="3969"/>
        </w:tabs>
        <w:ind w:left="3969" w:hanging="794"/>
      </w:pPr>
      <w:rPr>
        <w:rFonts w:hint="default"/>
      </w:rPr>
    </w:lvl>
    <w:lvl w:ilvl="5">
      <w:start w:val="1"/>
      <w:numFmt w:val="decimal"/>
      <w:lvlText w:val="%6."/>
      <w:lvlJc w:val="left"/>
      <w:pPr>
        <w:tabs>
          <w:tab w:val="num" w:pos="4763"/>
        </w:tabs>
        <w:ind w:left="4763" w:hanging="794"/>
      </w:pPr>
      <w:rPr>
        <w:rFonts w:hint="default"/>
      </w:rPr>
    </w:lvl>
    <w:lvl w:ilvl="6">
      <w:start w:val="1"/>
      <w:numFmt w:val="decimal"/>
      <w:lvlText w:val="%7."/>
      <w:lvlJc w:val="left"/>
      <w:pPr>
        <w:tabs>
          <w:tab w:val="num" w:pos="5557"/>
        </w:tabs>
        <w:ind w:left="5557" w:hanging="794"/>
      </w:pPr>
      <w:rPr>
        <w:rFonts w:hint="default"/>
      </w:rPr>
    </w:lvl>
    <w:lvl w:ilvl="7">
      <w:start w:val="1"/>
      <w:numFmt w:val="decimal"/>
      <w:lvlText w:val="%8."/>
      <w:lvlJc w:val="left"/>
      <w:pPr>
        <w:tabs>
          <w:tab w:val="num" w:pos="6350"/>
        </w:tabs>
        <w:ind w:left="6350" w:hanging="793"/>
      </w:pPr>
      <w:rPr>
        <w:rFonts w:hint="default"/>
      </w:rPr>
    </w:lvl>
    <w:lvl w:ilvl="8">
      <w:start w:val="1"/>
      <w:numFmt w:val="decimal"/>
      <w:lvlText w:val="%9."/>
      <w:lvlJc w:val="left"/>
      <w:pPr>
        <w:tabs>
          <w:tab w:val="num" w:pos="7144"/>
        </w:tabs>
        <w:ind w:left="7144" w:hanging="794"/>
      </w:pPr>
      <w:rPr>
        <w:rFonts w:hint="default"/>
      </w:rPr>
    </w:lvl>
  </w:abstractNum>
  <w:abstractNum w:abstractNumId="7" w15:restartNumberingAfterBreak="0">
    <w:nsid w:val="143D0A16"/>
    <w:multiLevelType w:val="multilevel"/>
    <w:tmpl w:val="3216D134"/>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72F0AC5"/>
    <w:multiLevelType w:val="multilevel"/>
    <w:tmpl w:val="47C27374"/>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489E6DCE"/>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FCF7633"/>
    <w:multiLevelType w:val="multilevel"/>
    <w:tmpl w:val="A8206134"/>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81068F"/>
    <w:multiLevelType w:val="hybridMultilevel"/>
    <w:tmpl w:val="B908D8BE"/>
    <w:lvl w:ilvl="0" w:tplc="671E7162">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51303AD"/>
    <w:multiLevelType w:val="hybridMultilevel"/>
    <w:tmpl w:val="AB2C4630"/>
    <w:name w:val="ListNumber1Numbering2"/>
    <w:lvl w:ilvl="0" w:tplc="5CE2D4EC">
      <w:start w:val="1"/>
      <w:numFmt w:val="bullet"/>
      <w:lvlText w:val=""/>
      <w:lvlJc w:val="left"/>
      <w:pPr>
        <w:ind w:left="1911" w:hanging="360"/>
      </w:pPr>
      <w:rPr>
        <w:rFonts w:ascii="Symbol" w:hAnsi="Symbol" w:hint="default"/>
      </w:rPr>
    </w:lvl>
    <w:lvl w:ilvl="1" w:tplc="080C0003" w:tentative="1">
      <w:start w:val="1"/>
      <w:numFmt w:val="bullet"/>
      <w:lvlText w:val="o"/>
      <w:lvlJc w:val="left"/>
      <w:pPr>
        <w:ind w:left="2631" w:hanging="360"/>
      </w:pPr>
      <w:rPr>
        <w:rFonts w:ascii="Courier New" w:hAnsi="Courier New" w:cs="Courier New" w:hint="default"/>
      </w:rPr>
    </w:lvl>
    <w:lvl w:ilvl="2" w:tplc="080C0005" w:tentative="1">
      <w:start w:val="1"/>
      <w:numFmt w:val="bullet"/>
      <w:lvlText w:val=""/>
      <w:lvlJc w:val="left"/>
      <w:pPr>
        <w:ind w:left="3351" w:hanging="360"/>
      </w:pPr>
      <w:rPr>
        <w:rFonts w:ascii="Wingdings" w:hAnsi="Wingdings" w:hint="default"/>
      </w:rPr>
    </w:lvl>
    <w:lvl w:ilvl="3" w:tplc="080C0001" w:tentative="1">
      <w:start w:val="1"/>
      <w:numFmt w:val="bullet"/>
      <w:lvlText w:val=""/>
      <w:lvlJc w:val="left"/>
      <w:pPr>
        <w:ind w:left="4071" w:hanging="360"/>
      </w:pPr>
      <w:rPr>
        <w:rFonts w:ascii="Symbol" w:hAnsi="Symbol" w:hint="default"/>
      </w:rPr>
    </w:lvl>
    <w:lvl w:ilvl="4" w:tplc="080C0003" w:tentative="1">
      <w:start w:val="1"/>
      <w:numFmt w:val="bullet"/>
      <w:lvlText w:val="o"/>
      <w:lvlJc w:val="left"/>
      <w:pPr>
        <w:ind w:left="4791" w:hanging="360"/>
      </w:pPr>
      <w:rPr>
        <w:rFonts w:ascii="Courier New" w:hAnsi="Courier New" w:cs="Courier New" w:hint="default"/>
      </w:rPr>
    </w:lvl>
    <w:lvl w:ilvl="5" w:tplc="080C0005" w:tentative="1">
      <w:start w:val="1"/>
      <w:numFmt w:val="bullet"/>
      <w:lvlText w:val=""/>
      <w:lvlJc w:val="left"/>
      <w:pPr>
        <w:ind w:left="5511" w:hanging="360"/>
      </w:pPr>
      <w:rPr>
        <w:rFonts w:ascii="Wingdings" w:hAnsi="Wingdings" w:hint="default"/>
      </w:rPr>
    </w:lvl>
    <w:lvl w:ilvl="6" w:tplc="080C0001" w:tentative="1">
      <w:start w:val="1"/>
      <w:numFmt w:val="bullet"/>
      <w:lvlText w:val=""/>
      <w:lvlJc w:val="left"/>
      <w:pPr>
        <w:ind w:left="6231" w:hanging="360"/>
      </w:pPr>
      <w:rPr>
        <w:rFonts w:ascii="Symbol" w:hAnsi="Symbol" w:hint="default"/>
      </w:rPr>
    </w:lvl>
    <w:lvl w:ilvl="7" w:tplc="080C0003" w:tentative="1">
      <w:start w:val="1"/>
      <w:numFmt w:val="bullet"/>
      <w:lvlText w:val="o"/>
      <w:lvlJc w:val="left"/>
      <w:pPr>
        <w:ind w:left="6951" w:hanging="360"/>
      </w:pPr>
      <w:rPr>
        <w:rFonts w:ascii="Courier New" w:hAnsi="Courier New" w:cs="Courier New" w:hint="default"/>
      </w:rPr>
    </w:lvl>
    <w:lvl w:ilvl="8" w:tplc="080C0005" w:tentative="1">
      <w:start w:val="1"/>
      <w:numFmt w:val="bullet"/>
      <w:lvlText w:val=""/>
      <w:lvlJc w:val="left"/>
      <w:pPr>
        <w:ind w:left="7671" w:hanging="360"/>
      </w:pPr>
      <w:rPr>
        <w:rFonts w:ascii="Wingdings" w:hAnsi="Wingdings" w:hint="default"/>
      </w:rPr>
    </w:lvl>
  </w:abstractNum>
  <w:abstractNum w:abstractNumId="13" w15:restartNumberingAfterBreak="0">
    <w:nsid w:val="2C8DFDF8"/>
    <w:multiLevelType w:val="multilevel"/>
    <w:tmpl w:val="67C09560"/>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D293CE3"/>
    <w:multiLevelType w:val="multilevel"/>
    <w:tmpl w:val="13004F24"/>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25F1137"/>
    <w:multiLevelType w:val="multilevel"/>
    <w:tmpl w:val="1BEA4522"/>
    <w:lvl w:ilvl="0">
      <w:start w:val="1"/>
      <w:numFmt w:val="lowerRoman"/>
      <w:lvlText w:val="(%1)"/>
      <w:lvlJc w:val="left"/>
      <w:pPr>
        <w:tabs>
          <w:tab w:val="num" w:pos="1800"/>
        </w:tabs>
        <w:ind w:left="1800" w:hanging="360"/>
      </w:pPr>
      <w:rPr>
        <w:rFonts w:hint="default"/>
      </w:rPr>
    </w:lvl>
    <w:lvl w:ilvl="1">
      <w:start w:val="1"/>
      <w:numFmt w:val="lowerRoman"/>
      <w:lvlText w:val="(%2)"/>
      <w:lvlJc w:val="left"/>
      <w:pPr>
        <w:tabs>
          <w:tab w:val="num" w:pos="2520"/>
        </w:tabs>
        <w:ind w:left="2520" w:hanging="360"/>
      </w:pPr>
      <w:rPr>
        <w:rFonts w:hint="default"/>
      </w:rPr>
    </w:lvl>
    <w:lvl w:ilvl="2">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16" w15:restartNumberingAfterBreak="0">
    <w:nsid w:val="36324F1E"/>
    <w:multiLevelType w:val="multilevel"/>
    <w:tmpl w:val="DFD6C114"/>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7CB1E1C"/>
    <w:multiLevelType w:val="multilevel"/>
    <w:tmpl w:val="6A862740"/>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0A77F2A"/>
    <w:multiLevelType w:val="hybridMultilevel"/>
    <w:tmpl w:val="1A42D618"/>
    <w:lvl w:ilvl="0" w:tplc="CAC80E40">
      <w:start w:val="9"/>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29E662A"/>
    <w:multiLevelType w:val="multilevel"/>
    <w:tmpl w:val="3D9265AC"/>
    <w:lvl w:ilvl="0">
      <w:start w:val="1"/>
      <w:numFmt w:val="decimal"/>
      <w:pStyle w:val="ListNumber1"/>
      <w:lvlText w:val="(%1)"/>
      <w:lvlJc w:val="left"/>
      <w:pPr>
        <w:tabs>
          <w:tab w:val="num" w:pos="709"/>
        </w:tabs>
        <w:ind w:left="709" w:hanging="709"/>
      </w:pPr>
      <w:rPr>
        <w:rFonts w:hint="default"/>
        <w:i w:val="0"/>
        <w:color w:val="000000" w:themeColor="text1"/>
      </w:rPr>
    </w:lvl>
    <w:lvl w:ilvl="1">
      <w:start w:val="1"/>
      <w:numFmt w:val="decimal"/>
      <w:pStyle w:val="ListNumber1Level2"/>
      <w:lvlText w:val="(%2)"/>
      <w:lvlJc w:val="left"/>
      <w:pPr>
        <w:tabs>
          <w:tab w:val="num" w:pos="1502"/>
        </w:tabs>
        <w:ind w:left="1502" w:hanging="708"/>
      </w:pPr>
      <w:rPr>
        <w:rFonts w:hint="default"/>
        <w:b w:val="0"/>
      </w:rPr>
    </w:lvl>
    <w:lvl w:ilvl="2">
      <w:start w:val="1"/>
      <w:numFmt w:val="bullet"/>
      <w:pStyle w:val="ListNumber1Level3"/>
      <w:lvlText w:val="–"/>
      <w:lvlJc w:val="left"/>
      <w:pPr>
        <w:tabs>
          <w:tab w:val="num" w:pos="2126"/>
        </w:tabs>
        <w:ind w:left="2126" w:hanging="709"/>
      </w:pPr>
      <w:rPr>
        <w:rFonts w:ascii="Times New Roman" w:hAnsi="Times New Roman" w:hint="default"/>
      </w:rPr>
    </w:lvl>
    <w:lvl w:ilvl="3">
      <w:start w:val="1"/>
      <w:numFmt w:val="bullet"/>
      <w:pStyle w:val="ListNumber1Level4"/>
      <w:lvlText w:val=""/>
      <w:lvlJc w:val="left"/>
      <w:pPr>
        <w:tabs>
          <w:tab w:val="num" w:pos="2835"/>
        </w:tabs>
        <w:ind w:left="2835" w:hanging="709"/>
      </w:pPr>
      <w:rPr>
        <w:rFonts w:ascii="Symbol" w:hAnsi="Symbol" w:hint="default"/>
      </w:rPr>
    </w:lvl>
    <w:lvl w:ilvl="4">
      <w:numFmt w:val="none"/>
      <w:lvlText w:val=""/>
      <w:lvlJc w:val="left"/>
      <w:pPr>
        <w:ind w:left="-482" w:firstLine="0"/>
      </w:pPr>
      <w:rPr>
        <w:rFonts w:hint="default"/>
      </w:rPr>
    </w:lvl>
    <w:lvl w:ilvl="5">
      <w:numFmt w:val="none"/>
      <w:lvlText w:val=""/>
      <w:lvlJc w:val="left"/>
      <w:pPr>
        <w:ind w:left="-482" w:firstLine="0"/>
      </w:pPr>
      <w:rPr>
        <w:rFonts w:hint="default"/>
      </w:rPr>
    </w:lvl>
    <w:lvl w:ilvl="6">
      <w:numFmt w:val="none"/>
      <w:lvlText w:val=""/>
      <w:lvlJc w:val="left"/>
      <w:pPr>
        <w:ind w:left="-482" w:firstLine="0"/>
      </w:pPr>
      <w:rPr>
        <w:rFonts w:hint="default"/>
      </w:rPr>
    </w:lvl>
    <w:lvl w:ilvl="7">
      <w:numFmt w:val="none"/>
      <w:lvlText w:val=""/>
      <w:lvlJc w:val="left"/>
      <w:pPr>
        <w:ind w:left="-482" w:firstLine="0"/>
      </w:pPr>
      <w:rPr>
        <w:rFonts w:hint="default"/>
      </w:rPr>
    </w:lvl>
    <w:lvl w:ilvl="8">
      <w:numFmt w:val="none"/>
      <w:lvlText w:val=""/>
      <w:lvlJc w:val="left"/>
      <w:pPr>
        <w:ind w:left="-482" w:firstLine="0"/>
      </w:pPr>
      <w:rPr>
        <w:rFonts w:hint="default"/>
      </w:rPr>
    </w:lvl>
  </w:abstractNum>
  <w:abstractNum w:abstractNumId="20" w15:restartNumberingAfterBreak="0">
    <w:nsid w:val="44041A34"/>
    <w:multiLevelType w:val="multilevel"/>
    <w:tmpl w:val="13864522"/>
    <w:lvl w:ilvl="0">
      <w:start w:val="1"/>
      <w:numFmt w:val="lowerRoman"/>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1" w15:restartNumberingAfterBreak="0">
    <w:nsid w:val="458B20C5"/>
    <w:multiLevelType w:val="hybridMultilevel"/>
    <w:tmpl w:val="DCB463F8"/>
    <w:lvl w:ilvl="0" w:tplc="0813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814DF0"/>
    <w:multiLevelType w:val="multilevel"/>
    <w:tmpl w:val="8DF0AC1E"/>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3" w15:restartNumberingAfterBreak="0">
    <w:nsid w:val="4E0A1E25"/>
    <w:multiLevelType w:val="multilevel"/>
    <w:tmpl w:val="48AA0558"/>
    <w:styleLink w:val="ECHANumberlist"/>
    <w:lvl w:ilvl="0">
      <w:start w:val="1"/>
      <w:numFmt w:val="decimal"/>
      <w:lvlText w:val="%1."/>
      <w:lvlJc w:val="left"/>
      <w:pPr>
        <w:tabs>
          <w:tab w:val="num" w:pos="720"/>
        </w:tabs>
        <w:ind w:left="720" w:hanging="360"/>
      </w:pPr>
      <w:rPr>
        <w:rFonts w:ascii="Verdana" w:hAnsi="Verdana"/>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E1A982C"/>
    <w:multiLevelType w:val="multilevel"/>
    <w:tmpl w:val="40D80262"/>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5072619B"/>
    <w:multiLevelType w:val="multilevel"/>
    <w:tmpl w:val="6C72D5C4"/>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55310118"/>
    <w:multiLevelType w:val="hybridMultilevel"/>
    <w:tmpl w:val="5BC04DA8"/>
    <w:lvl w:ilvl="0" w:tplc="97F40E7C">
      <w:start w:val="1"/>
      <w:numFmt w:val="decimal"/>
      <w:lvlText w:val="(%1)"/>
      <w:lvlJc w:val="left"/>
      <w:pPr>
        <w:ind w:left="720" w:hanging="576"/>
      </w:pPr>
      <w:rPr>
        <w:rFonts w:hint="default"/>
      </w:rPr>
    </w:lvl>
    <w:lvl w:ilvl="1" w:tplc="18090019">
      <w:start w:val="1"/>
      <w:numFmt w:val="lowerLetter"/>
      <w:lvlText w:val="%2."/>
      <w:lvlJc w:val="left"/>
      <w:pPr>
        <w:ind w:left="1224" w:hanging="360"/>
      </w:pPr>
    </w:lvl>
    <w:lvl w:ilvl="2" w:tplc="1809001B" w:tentative="1">
      <w:start w:val="1"/>
      <w:numFmt w:val="lowerRoman"/>
      <w:lvlText w:val="%3."/>
      <w:lvlJc w:val="right"/>
      <w:pPr>
        <w:ind w:left="1944" w:hanging="180"/>
      </w:pPr>
    </w:lvl>
    <w:lvl w:ilvl="3" w:tplc="1809000F" w:tentative="1">
      <w:start w:val="1"/>
      <w:numFmt w:val="decimal"/>
      <w:lvlText w:val="%4."/>
      <w:lvlJc w:val="left"/>
      <w:pPr>
        <w:ind w:left="2664" w:hanging="360"/>
      </w:pPr>
    </w:lvl>
    <w:lvl w:ilvl="4" w:tplc="18090019" w:tentative="1">
      <w:start w:val="1"/>
      <w:numFmt w:val="lowerLetter"/>
      <w:lvlText w:val="%5."/>
      <w:lvlJc w:val="left"/>
      <w:pPr>
        <w:ind w:left="3384" w:hanging="360"/>
      </w:pPr>
    </w:lvl>
    <w:lvl w:ilvl="5" w:tplc="1809001B" w:tentative="1">
      <w:start w:val="1"/>
      <w:numFmt w:val="lowerRoman"/>
      <w:lvlText w:val="%6."/>
      <w:lvlJc w:val="right"/>
      <w:pPr>
        <w:ind w:left="4104" w:hanging="180"/>
      </w:pPr>
    </w:lvl>
    <w:lvl w:ilvl="6" w:tplc="1809000F" w:tentative="1">
      <w:start w:val="1"/>
      <w:numFmt w:val="decimal"/>
      <w:lvlText w:val="%7."/>
      <w:lvlJc w:val="left"/>
      <w:pPr>
        <w:ind w:left="4824" w:hanging="360"/>
      </w:pPr>
    </w:lvl>
    <w:lvl w:ilvl="7" w:tplc="18090019" w:tentative="1">
      <w:start w:val="1"/>
      <w:numFmt w:val="lowerLetter"/>
      <w:lvlText w:val="%8."/>
      <w:lvlJc w:val="left"/>
      <w:pPr>
        <w:ind w:left="5544" w:hanging="360"/>
      </w:pPr>
    </w:lvl>
    <w:lvl w:ilvl="8" w:tplc="1809001B" w:tentative="1">
      <w:start w:val="1"/>
      <w:numFmt w:val="lowerRoman"/>
      <w:lvlText w:val="%9."/>
      <w:lvlJc w:val="right"/>
      <w:pPr>
        <w:ind w:left="6264" w:hanging="180"/>
      </w:pPr>
    </w:lvl>
  </w:abstractNum>
  <w:abstractNum w:abstractNumId="27" w15:restartNumberingAfterBreak="0">
    <w:nsid w:val="5C5D297B"/>
    <w:multiLevelType w:val="multilevel"/>
    <w:tmpl w:val="A1CED50C"/>
    <w:lvl w:ilvl="0">
      <w:start w:val="1"/>
      <w:numFmt w:val="lowerLetter"/>
      <w:lvlText w:val="%1)"/>
      <w:lvlJc w:val="left"/>
      <w:pPr>
        <w:tabs>
          <w:tab w:val="num" w:pos="1080"/>
        </w:tabs>
        <w:ind w:left="1080" w:hanging="360"/>
      </w:pPr>
      <w:rPr>
        <w:b/>
      </w:rPr>
    </w:lvl>
    <w:lvl w:ilvl="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8" w15:restartNumberingAfterBreak="0">
    <w:nsid w:val="5E885A52"/>
    <w:multiLevelType w:val="multilevel"/>
    <w:tmpl w:val="0ADE4FEC"/>
    <w:numStyleLink w:val="NumbListNumberedList"/>
  </w:abstractNum>
  <w:abstractNum w:abstractNumId="29" w15:restartNumberingAfterBreak="0">
    <w:nsid w:val="62BB605D"/>
    <w:multiLevelType w:val="multilevel"/>
    <w:tmpl w:val="13864522"/>
    <w:lvl w:ilvl="0">
      <w:start w:val="1"/>
      <w:numFmt w:val="lowerRoman"/>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30" w15:restartNumberingAfterBreak="0">
    <w:nsid w:val="68363DB0"/>
    <w:multiLevelType w:val="hybridMultilevel"/>
    <w:tmpl w:val="B5B42D8E"/>
    <w:lvl w:ilvl="0" w:tplc="283E3C1E">
      <w:start w:val="2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77472E"/>
    <w:multiLevelType w:val="multilevel"/>
    <w:tmpl w:val="64D6FF36"/>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2" w15:restartNumberingAfterBreak="0">
    <w:nsid w:val="6B932D5A"/>
    <w:multiLevelType w:val="multilevel"/>
    <w:tmpl w:val="13864522"/>
    <w:lvl w:ilvl="0">
      <w:start w:val="1"/>
      <w:numFmt w:val="lowerRoman"/>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33" w15:restartNumberingAfterBreak="0">
    <w:nsid w:val="6D0361FF"/>
    <w:multiLevelType w:val="hybridMultilevel"/>
    <w:tmpl w:val="5ED6AC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78D3DDE"/>
    <w:multiLevelType w:val="hybridMultilevel"/>
    <w:tmpl w:val="4694ED14"/>
    <w:lvl w:ilvl="0" w:tplc="B76A0D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65145E"/>
    <w:multiLevelType w:val="multilevel"/>
    <w:tmpl w:val="C83E98A2"/>
    <w:lvl w:ilvl="0">
      <w:start w:val="1"/>
      <w:numFmt w:val="decimal"/>
      <w:pStyle w:val="Heading1"/>
      <w:lvlText w:val="%1."/>
      <w:lvlJc w:val="left"/>
      <w:pPr>
        <w:tabs>
          <w:tab w:val="num" w:pos="482"/>
        </w:tabs>
        <w:ind w:left="482" w:hanging="482"/>
      </w:pPr>
      <w:rPr>
        <w:rFonts w:hint="default"/>
      </w:rPr>
    </w:lvl>
    <w:lvl w:ilvl="1">
      <w:start w:val="1"/>
      <w:numFmt w:val="decimal"/>
      <w:pStyle w:val="Heading2"/>
      <w:lvlText w:val="%1.%2."/>
      <w:lvlJc w:val="left"/>
      <w:pPr>
        <w:tabs>
          <w:tab w:val="num" w:pos="1145"/>
        </w:tabs>
        <w:ind w:left="1145" w:hanging="720"/>
      </w:pPr>
      <w:rPr>
        <w:rFonts w:hint="default"/>
        <w:b/>
      </w:rPr>
    </w:lvl>
    <w:lvl w:ilvl="2">
      <w:start w:val="1"/>
      <w:numFmt w:val="decimal"/>
      <w:pStyle w:val="Heading3"/>
      <w:lvlText w:val="%1.%2.%3."/>
      <w:lvlJc w:val="left"/>
      <w:pPr>
        <w:tabs>
          <w:tab w:val="num" w:pos="1922"/>
        </w:tabs>
        <w:ind w:left="1922" w:hanging="720"/>
      </w:pPr>
      <w:rPr>
        <w:rFonts w:hint="default"/>
      </w:rPr>
    </w:lvl>
    <w:lvl w:ilvl="3">
      <w:start w:val="1"/>
      <w:numFmt w:val="decimal"/>
      <w:pStyle w:val="Heading4"/>
      <w:lvlText w:val="%1.%2.%3.%4."/>
      <w:lvlJc w:val="left"/>
      <w:pPr>
        <w:tabs>
          <w:tab w:val="num" w:pos="1922"/>
        </w:tabs>
        <w:ind w:left="1922" w:hanging="720"/>
      </w:pPr>
      <w:rPr>
        <w:rFonts w:hint="default"/>
      </w:rPr>
    </w:lvl>
    <w:lvl w:ilvl="4">
      <w:start w:val="1"/>
      <w:numFmt w:val="decimal"/>
      <w:pStyle w:val="Heading5"/>
      <w:lvlText w:val="%1.%2.%3.%4.%5."/>
      <w:lvlJc w:val="left"/>
      <w:pPr>
        <w:tabs>
          <w:tab w:val="num" w:pos="2880"/>
        </w:tabs>
        <w:ind w:left="3838" w:hanging="958"/>
      </w:pPr>
      <w:rPr>
        <w:rFonts w:hint="default"/>
      </w:rPr>
    </w:lvl>
    <w:lvl w:ilvl="5">
      <w:start w:val="1"/>
      <w:numFmt w:val="decimal"/>
      <w:pStyle w:val="Heading6"/>
      <w:lvlText w:val="%1.%2.%3.%4.%5.%6."/>
      <w:lvlJc w:val="left"/>
      <w:pPr>
        <w:tabs>
          <w:tab w:val="num" w:pos="2880"/>
        </w:tabs>
        <w:ind w:left="3838" w:hanging="958"/>
      </w:pPr>
      <w:rPr>
        <w:rFonts w:hint="default"/>
      </w:rPr>
    </w:lvl>
    <w:lvl w:ilvl="6">
      <w:start w:val="1"/>
      <w:numFmt w:val="decimal"/>
      <w:pStyle w:val="Heading7"/>
      <w:lvlText w:val="%1.%2.%3.%4.%5.%6.%7."/>
      <w:lvlJc w:val="left"/>
      <w:pPr>
        <w:tabs>
          <w:tab w:val="num" w:pos="2880"/>
        </w:tabs>
        <w:ind w:left="3838" w:hanging="958"/>
      </w:pPr>
      <w:rPr>
        <w:rFonts w:hint="default"/>
      </w:rPr>
    </w:lvl>
    <w:lvl w:ilvl="7">
      <w:start w:val="1"/>
      <w:numFmt w:val="decimal"/>
      <w:pStyle w:val="Heading8"/>
      <w:lvlText w:val="%1.%2.%3.%4.%5.%6.%7.%8."/>
      <w:lvlJc w:val="left"/>
      <w:pPr>
        <w:tabs>
          <w:tab w:val="num" w:pos="2880"/>
        </w:tabs>
        <w:ind w:left="3838" w:hanging="958"/>
      </w:pPr>
      <w:rPr>
        <w:rFonts w:hint="default"/>
      </w:rPr>
    </w:lvl>
    <w:lvl w:ilvl="8">
      <w:start w:val="1"/>
      <w:numFmt w:val="decimal"/>
      <w:pStyle w:val="Heading9"/>
      <w:lvlText w:val="%1.%2.%3.%4.%5.%6.%7.%8.%9."/>
      <w:lvlJc w:val="left"/>
      <w:pPr>
        <w:tabs>
          <w:tab w:val="num" w:pos="2880"/>
        </w:tabs>
        <w:ind w:left="3838" w:hanging="958"/>
      </w:pPr>
      <w:rPr>
        <w:rFonts w:hint="default"/>
      </w:rPr>
    </w:lvl>
  </w:abstractNum>
  <w:abstractNum w:abstractNumId="36" w15:restartNumberingAfterBreak="0">
    <w:nsid w:val="7C651460"/>
    <w:multiLevelType w:val="multilevel"/>
    <w:tmpl w:val="DCAA060D"/>
    <w:name w:val="AnnexHeading"/>
    <w:lvl w:ilvl="0">
      <w:start w:val="1"/>
      <w:numFmt w:val="decimal"/>
      <w:lvlText w:val="%1."/>
      <w:lvlJc w:val="left"/>
      <w:pPr>
        <w:tabs>
          <w:tab w:val="num" w:pos="397"/>
        </w:tabs>
        <w:ind w:left="397" w:hanging="397"/>
      </w:pPr>
      <w:rPr>
        <w:rFonts w:hint="default"/>
      </w:rPr>
    </w:lvl>
    <w:lvl w:ilvl="1">
      <w:start w:val="1"/>
      <w:numFmt w:val="decimal"/>
      <w:lvlText w:val="%1."/>
      <w:lvlJc w:val="left"/>
      <w:pPr>
        <w:tabs>
          <w:tab w:val="num" w:pos="397"/>
        </w:tabs>
        <w:ind w:left="397" w:hanging="397"/>
      </w:pPr>
      <w:rPr>
        <w:rFonts w:hint="default"/>
      </w:rPr>
    </w:lvl>
    <w:lvl w:ilvl="2">
      <w:start w:val="1"/>
      <w:numFmt w:val="decimal"/>
      <w:lvlText w:val="%1."/>
      <w:lvlJc w:val="left"/>
      <w:pPr>
        <w:tabs>
          <w:tab w:val="num" w:pos="397"/>
        </w:tabs>
        <w:ind w:left="397" w:hanging="397"/>
      </w:pPr>
      <w:rPr>
        <w:rFonts w:hint="default"/>
      </w:rPr>
    </w:lvl>
    <w:lvl w:ilvl="3">
      <w:start w:val="1"/>
      <w:numFmt w:val="decimal"/>
      <w:lvlText w:val="%1."/>
      <w:lvlJc w:val="left"/>
      <w:pPr>
        <w:tabs>
          <w:tab w:val="num" w:pos="397"/>
        </w:tabs>
        <w:ind w:left="397" w:hanging="397"/>
      </w:pPr>
      <w:rPr>
        <w:rFonts w:hint="default"/>
      </w:rPr>
    </w:lvl>
    <w:lvl w:ilvl="4">
      <w:start w:val="1"/>
      <w:numFmt w:val="decimal"/>
      <w:lvlText w:val="%1."/>
      <w:lvlJc w:val="left"/>
      <w:pPr>
        <w:tabs>
          <w:tab w:val="num" w:pos="397"/>
        </w:tabs>
        <w:ind w:left="397" w:hanging="397"/>
      </w:pPr>
      <w:rPr>
        <w:rFonts w:hint="default"/>
      </w:rPr>
    </w:lvl>
    <w:lvl w:ilvl="5">
      <w:start w:val="1"/>
      <w:numFmt w:val="decimal"/>
      <w:lvlText w:val="%1."/>
      <w:lvlJc w:val="left"/>
      <w:pPr>
        <w:tabs>
          <w:tab w:val="num" w:pos="397"/>
        </w:tabs>
        <w:ind w:left="397" w:hanging="397"/>
      </w:pPr>
      <w:rPr>
        <w:rFonts w:hint="default"/>
      </w:rPr>
    </w:lvl>
    <w:lvl w:ilvl="6">
      <w:start w:val="1"/>
      <w:numFmt w:val="decimal"/>
      <w:lvlText w:val="%1."/>
      <w:lvlJc w:val="left"/>
      <w:pPr>
        <w:tabs>
          <w:tab w:val="num" w:pos="397"/>
        </w:tabs>
        <w:ind w:left="397" w:hanging="397"/>
      </w:pPr>
      <w:rPr>
        <w:rFonts w:hint="default"/>
      </w:rPr>
    </w:lvl>
    <w:lvl w:ilvl="7">
      <w:start w:val="1"/>
      <w:numFmt w:val="decimal"/>
      <w:lvlText w:val="%1."/>
      <w:lvlJc w:val="left"/>
      <w:pPr>
        <w:tabs>
          <w:tab w:val="num" w:pos="397"/>
        </w:tabs>
        <w:ind w:left="397" w:hanging="397"/>
      </w:pPr>
      <w:rPr>
        <w:rFonts w:hint="default"/>
      </w:rPr>
    </w:lvl>
    <w:lvl w:ilvl="8">
      <w:start w:val="1"/>
      <w:numFmt w:val="decimal"/>
      <w:lvlText w:val="%1."/>
      <w:lvlJc w:val="left"/>
      <w:pPr>
        <w:tabs>
          <w:tab w:val="num" w:pos="397"/>
        </w:tabs>
        <w:ind w:left="397" w:hanging="397"/>
      </w:pPr>
      <w:rPr>
        <w:rFonts w:hint="default"/>
      </w:rPr>
    </w:lvl>
  </w:abstractNum>
  <w:abstractNum w:abstractNumId="37" w15:restartNumberingAfterBreak="0">
    <w:nsid w:val="7E333B61"/>
    <w:multiLevelType w:val="hybridMultilevel"/>
    <w:tmpl w:val="5BC04DA8"/>
    <w:lvl w:ilvl="0" w:tplc="97F40E7C">
      <w:start w:val="1"/>
      <w:numFmt w:val="decimal"/>
      <w:lvlText w:val="(%1)"/>
      <w:lvlJc w:val="left"/>
      <w:pPr>
        <w:ind w:left="720" w:hanging="576"/>
      </w:pPr>
      <w:rPr>
        <w:rFonts w:hint="default"/>
      </w:rPr>
    </w:lvl>
    <w:lvl w:ilvl="1" w:tplc="18090019">
      <w:start w:val="1"/>
      <w:numFmt w:val="lowerLetter"/>
      <w:lvlText w:val="%2."/>
      <w:lvlJc w:val="left"/>
      <w:pPr>
        <w:ind w:left="1224" w:hanging="360"/>
      </w:pPr>
    </w:lvl>
    <w:lvl w:ilvl="2" w:tplc="1809001B">
      <w:start w:val="1"/>
      <w:numFmt w:val="lowerRoman"/>
      <w:lvlText w:val="%3."/>
      <w:lvlJc w:val="right"/>
      <w:pPr>
        <w:ind w:left="1944" w:hanging="180"/>
      </w:pPr>
    </w:lvl>
    <w:lvl w:ilvl="3" w:tplc="1809000F">
      <w:start w:val="1"/>
      <w:numFmt w:val="decimal"/>
      <w:lvlText w:val="%4."/>
      <w:lvlJc w:val="left"/>
      <w:pPr>
        <w:ind w:left="2664" w:hanging="360"/>
      </w:pPr>
    </w:lvl>
    <w:lvl w:ilvl="4" w:tplc="18090019" w:tentative="1">
      <w:start w:val="1"/>
      <w:numFmt w:val="lowerLetter"/>
      <w:lvlText w:val="%5."/>
      <w:lvlJc w:val="left"/>
      <w:pPr>
        <w:ind w:left="3384" w:hanging="360"/>
      </w:pPr>
    </w:lvl>
    <w:lvl w:ilvl="5" w:tplc="1809001B" w:tentative="1">
      <w:start w:val="1"/>
      <w:numFmt w:val="lowerRoman"/>
      <w:lvlText w:val="%6."/>
      <w:lvlJc w:val="right"/>
      <w:pPr>
        <w:ind w:left="4104" w:hanging="180"/>
      </w:pPr>
    </w:lvl>
    <w:lvl w:ilvl="6" w:tplc="1809000F" w:tentative="1">
      <w:start w:val="1"/>
      <w:numFmt w:val="decimal"/>
      <w:lvlText w:val="%7."/>
      <w:lvlJc w:val="left"/>
      <w:pPr>
        <w:ind w:left="4824" w:hanging="360"/>
      </w:pPr>
    </w:lvl>
    <w:lvl w:ilvl="7" w:tplc="18090019" w:tentative="1">
      <w:start w:val="1"/>
      <w:numFmt w:val="lowerLetter"/>
      <w:lvlText w:val="%8."/>
      <w:lvlJc w:val="left"/>
      <w:pPr>
        <w:ind w:left="5544" w:hanging="360"/>
      </w:pPr>
    </w:lvl>
    <w:lvl w:ilvl="8" w:tplc="1809001B" w:tentative="1">
      <w:start w:val="1"/>
      <w:numFmt w:val="lowerRoman"/>
      <w:lvlText w:val="%9."/>
      <w:lvlJc w:val="right"/>
      <w:pPr>
        <w:ind w:left="6264" w:hanging="180"/>
      </w:pPr>
    </w:lvl>
  </w:abstractNum>
  <w:num w:numId="1" w16cid:durableId="213930358">
    <w:abstractNumId w:val="14"/>
  </w:num>
  <w:num w:numId="2" w16cid:durableId="1893301108">
    <w:abstractNumId w:val="35"/>
  </w:num>
  <w:num w:numId="3" w16cid:durableId="18818572">
    <w:abstractNumId w:val="24"/>
  </w:num>
  <w:num w:numId="4" w16cid:durableId="287250312">
    <w:abstractNumId w:val="13"/>
  </w:num>
  <w:num w:numId="5" w16cid:durableId="1562519037">
    <w:abstractNumId w:val="7"/>
  </w:num>
  <w:num w:numId="6" w16cid:durableId="2076779142">
    <w:abstractNumId w:val="5"/>
  </w:num>
  <w:num w:numId="7" w16cid:durableId="2029135839">
    <w:abstractNumId w:val="19"/>
  </w:num>
  <w:num w:numId="8" w16cid:durableId="163588899">
    <w:abstractNumId w:val="8"/>
  </w:num>
  <w:num w:numId="9" w16cid:durableId="1011907818">
    <w:abstractNumId w:val="4"/>
  </w:num>
  <w:num w:numId="10" w16cid:durableId="854615660">
    <w:abstractNumId w:val="31"/>
  </w:num>
  <w:num w:numId="11" w16cid:durableId="568225171">
    <w:abstractNumId w:val="25"/>
  </w:num>
  <w:num w:numId="12" w16cid:durableId="842865852">
    <w:abstractNumId w:val="17"/>
  </w:num>
  <w:num w:numId="13" w16cid:durableId="1298099246">
    <w:abstractNumId w:val="9"/>
  </w:num>
  <w:num w:numId="14" w16cid:durableId="1223563979">
    <w:abstractNumId w:val="16"/>
  </w:num>
  <w:num w:numId="15" w16cid:durableId="815298801">
    <w:abstractNumId w:val="2"/>
  </w:num>
  <w:num w:numId="16" w16cid:durableId="709110018">
    <w:abstractNumId w:val="23"/>
  </w:num>
  <w:num w:numId="17" w16cid:durableId="2004770370">
    <w:abstractNumId w:val="26"/>
  </w:num>
  <w:num w:numId="18" w16cid:durableId="1972593864">
    <w:abstractNumId w:val="37"/>
  </w:num>
  <w:num w:numId="19" w16cid:durableId="1884709797">
    <w:abstractNumId w:val="19"/>
  </w:num>
  <w:num w:numId="20" w16cid:durableId="2028366385">
    <w:abstractNumId w:val="19"/>
  </w:num>
  <w:num w:numId="21" w16cid:durableId="1038554961">
    <w:abstractNumId w:val="6"/>
  </w:num>
  <w:num w:numId="22" w16cid:durableId="622468721">
    <w:abstractNumId w:val="28"/>
  </w:num>
  <w:num w:numId="23" w16cid:durableId="1184127387">
    <w:abstractNumId w:val="27"/>
  </w:num>
  <w:num w:numId="24" w16cid:durableId="1767069972">
    <w:abstractNumId w:val="32"/>
  </w:num>
  <w:num w:numId="25" w16cid:durableId="415324513">
    <w:abstractNumId w:val="3"/>
  </w:num>
  <w:num w:numId="26" w16cid:durableId="820578094">
    <w:abstractNumId w:val="15"/>
  </w:num>
  <w:num w:numId="27" w16cid:durableId="1695299448">
    <w:abstractNumId w:val="20"/>
  </w:num>
  <w:num w:numId="28" w16cid:durableId="572546328">
    <w:abstractNumId w:val="11"/>
  </w:num>
  <w:num w:numId="29" w16cid:durableId="454913631">
    <w:abstractNumId w:val="29"/>
  </w:num>
  <w:num w:numId="30" w16cid:durableId="1980725353">
    <w:abstractNumId w:val="0"/>
  </w:num>
  <w:num w:numId="31" w16cid:durableId="397948213">
    <w:abstractNumId w:val="33"/>
  </w:num>
  <w:num w:numId="32" w16cid:durableId="1711412446">
    <w:abstractNumId w:val="30"/>
  </w:num>
  <w:num w:numId="33" w16cid:durableId="402920978">
    <w:abstractNumId w:val="18"/>
  </w:num>
  <w:num w:numId="34" w16cid:durableId="827750840">
    <w:abstractNumId w:val="10"/>
  </w:num>
  <w:num w:numId="35" w16cid:durableId="1611010676">
    <w:abstractNumId w:val="34"/>
  </w:num>
  <w:num w:numId="36" w16cid:durableId="20210065">
    <w:abstractNumId w:val="22"/>
  </w:num>
  <w:num w:numId="37" w16cid:durableId="1091199465">
    <w:abstractNumId w:val="21"/>
  </w:num>
  <w:num w:numId="38" w16cid:durableId="2005278969">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activeWritingStyle w:appName="MSWord" w:lang="it-IT"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fr-BE" w:vendorID="64" w:dllVersion="6" w:nlCheck="1" w:checkStyle="0"/>
  <w:activeWritingStyle w:appName="MSWord" w:lang="de-DE" w:vendorID="64" w:dllVersion="6" w:nlCheck="1" w:checkStyle="1"/>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es-ES" w:vendorID="64" w:dllVersion="6" w:nlCheck="1" w:checkStyle="0"/>
  <w:activeWritingStyle w:appName="MSWord" w:lang="es-ES" w:vendorID="64" w:dllVersion="0"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676D97"/>
    <w:rsid w:val="00001F25"/>
    <w:rsid w:val="0000217D"/>
    <w:rsid w:val="00004873"/>
    <w:rsid w:val="00004EF7"/>
    <w:rsid w:val="000057B1"/>
    <w:rsid w:val="00007FAD"/>
    <w:rsid w:val="000106E9"/>
    <w:rsid w:val="0001575E"/>
    <w:rsid w:val="000168F2"/>
    <w:rsid w:val="00016AAB"/>
    <w:rsid w:val="00016D18"/>
    <w:rsid w:val="00017BB1"/>
    <w:rsid w:val="000203E8"/>
    <w:rsid w:val="00020AE3"/>
    <w:rsid w:val="00020BC3"/>
    <w:rsid w:val="000227BE"/>
    <w:rsid w:val="00025B3F"/>
    <w:rsid w:val="00026B0E"/>
    <w:rsid w:val="000303BE"/>
    <w:rsid w:val="00031CF9"/>
    <w:rsid w:val="00032070"/>
    <w:rsid w:val="0003535A"/>
    <w:rsid w:val="00035AD3"/>
    <w:rsid w:val="00036186"/>
    <w:rsid w:val="00037DC5"/>
    <w:rsid w:val="000409DC"/>
    <w:rsid w:val="0004120A"/>
    <w:rsid w:val="000419AE"/>
    <w:rsid w:val="00042094"/>
    <w:rsid w:val="00042D59"/>
    <w:rsid w:val="00043188"/>
    <w:rsid w:val="00043827"/>
    <w:rsid w:val="0004508C"/>
    <w:rsid w:val="00046639"/>
    <w:rsid w:val="00047130"/>
    <w:rsid w:val="00050806"/>
    <w:rsid w:val="00052248"/>
    <w:rsid w:val="000538C7"/>
    <w:rsid w:val="000544F4"/>
    <w:rsid w:val="000578F7"/>
    <w:rsid w:val="00062322"/>
    <w:rsid w:val="00062D82"/>
    <w:rsid w:val="00062FBF"/>
    <w:rsid w:val="00064BA3"/>
    <w:rsid w:val="000650B0"/>
    <w:rsid w:val="0006580A"/>
    <w:rsid w:val="00065827"/>
    <w:rsid w:val="00066092"/>
    <w:rsid w:val="00066612"/>
    <w:rsid w:val="000707BF"/>
    <w:rsid w:val="00073AF9"/>
    <w:rsid w:val="00074539"/>
    <w:rsid w:val="00076CD0"/>
    <w:rsid w:val="00076DCB"/>
    <w:rsid w:val="000778F4"/>
    <w:rsid w:val="00077B56"/>
    <w:rsid w:val="0008193F"/>
    <w:rsid w:val="0008202F"/>
    <w:rsid w:val="000835CA"/>
    <w:rsid w:val="00083B07"/>
    <w:rsid w:val="000840DE"/>
    <w:rsid w:val="00085D77"/>
    <w:rsid w:val="000873A2"/>
    <w:rsid w:val="000879BE"/>
    <w:rsid w:val="000902EE"/>
    <w:rsid w:val="00090F27"/>
    <w:rsid w:val="000934DE"/>
    <w:rsid w:val="0009373A"/>
    <w:rsid w:val="0009498A"/>
    <w:rsid w:val="000961B1"/>
    <w:rsid w:val="000973EA"/>
    <w:rsid w:val="00097794"/>
    <w:rsid w:val="000A05E7"/>
    <w:rsid w:val="000A1C1F"/>
    <w:rsid w:val="000A40AD"/>
    <w:rsid w:val="000A52AD"/>
    <w:rsid w:val="000A566D"/>
    <w:rsid w:val="000A673D"/>
    <w:rsid w:val="000A6D0A"/>
    <w:rsid w:val="000A70D0"/>
    <w:rsid w:val="000A77D2"/>
    <w:rsid w:val="000B0FEA"/>
    <w:rsid w:val="000B2581"/>
    <w:rsid w:val="000B2CB6"/>
    <w:rsid w:val="000B3E05"/>
    <w:rsid w:val="000B4DFB"/>
    <w:rsid w:val="000B5044"/>
    <w:rsid w:val="000B5145"/>
    <w:rsid w:val="000B5BC6"/>
    <w:rsid w:val="000B5EEE"/>
    <w:rsid w:val="000B6A15"/>
    <w:rsid w:val="000B74F2"/>
    <w:rsid w:val="000B76E5"/>
    <w:rsid w:val="000B7A94"/>
    <w:rsid w:val="000C0E33"/>
    <w:rsid w:val="000C254C"/>
    <w:rsid w:val="000C25E1"/>
    <w:rsid w:val="000C2820"/>
    <w:rsid w:val="000C2831"/>
    <w:rsid w:val="000C2BEC"/>
    <w:rsid w:val="000C3713"/>
    <w:rsid w:val="000C7380"/>
    <w:rsid w:val="000D0220"/>
    <w:rsid w:val="000D1403"/>
    <w:rsid w:val="000D140C"/>
    <w:rsid w:val="000D1F7C"/>
    <w:rsid w:val="000D3AFC"/>
    <w:rsid w:val="000D5035"/>
    <w:rsid w:val="000D56B0"/>
    <w:rsid w:val="000D5B5E"/>
    <w:rsid w:val="000D6B8D"/>
    <w:rsid w:val="000D7F52"/>
    <w:rsid w:val="000E025E"/>
    <w:rsid w:val="000E1DB1"/>
    <w:rsid w:val="000E1E12"/>
    <w:rsid w:val="000E22AA"/>
    <w:rsid w:val="000E3EC6"/>
    <w:rsid w:val="000E5145"/>
    <w:rsid w:val="000E63C4"/>
    <w:rsid w:val="000E6AAF"/>
    <w:rsid w:val="000F077C"/>
    <w:rsid w:val="000F0EDD"/>
    <w:rsid w:val="000F19A5"/>
    <w:rsid w:val="000F2BE0"/>
    <w:rsid w:val="000F3B93"/>
    <w:rsid w:val="000F4FB7"/>
    <w:rsid w:val="000F5435"/>
    <w:rsid w:val="000F5482"/>
    <w:rsid w:val="000F5C52"/>
    <w:rsid w:val="000F60B2"/>
    <w:rsid w:val="000F6A49"/>
    <w:rsid w:val="000F6B13"/>
    <w:rsid w:val="00100DEB"/>
    <w:rsid w:val="001013AB"/>
    <w:rsid w:val="00101E31"/>
    <w:rsid w:val="00102227"/>
    <w:rsid w:val="00102766"/>
    <w:rsid w:val="00104FC6"/>
    <w:rsid w:val="001055FB"/>
    <w:rsid w:val="00105BC5"/>
    <w:rsid w:val="00106439"/>
    <w:rsid w:val="00110B13"/>
    <w:rsid w:val="0011128A"/>
    <w:rsid w:val="001113C5"/>
    <w:rsid w:val="00113320"/>
    <w:rsid w:val="00116CB3"/>
    <w:rsid w:val="00124B47"/>
    <w:rsid w:val="00124BB2"/>
    <w:rsid w:val="00125D05"/>
    <w:rsid w:val="00127B5F"/>
    <w:rsid w:val="0013087F"/>
    <w:rsid w:val="00130EA8"/>
    <w:rsid w:val="00131D78"/>
    <w:rsid w:val="001321CF"/>
    <w:rsid w:val="00133C1C"/>
    <w:rsid w:val="0013462E"/>
    <w:rsid w:val="0013585E"/>
    <w:rsid w:val="00136644"/>
    <w:rsid w:val="001371BB"/>
    <w:rsid w:val="001400D5"/>
    <w:rsid w:val="00142868"/>
    <w:rsid w:val="001435E0"/>
    <w:rsid w:val="00143A23"/>
    <w:rsid w:val="001445CA"/>
    <w:rsid w:val="00144A5B"/>
    <w:rsid w:val="001459FA"/>
    <w:rsid w:val="00147D9E"/>
    <w:rsid w:val="00150839"/>
    <w:rsid w:val="00150CB5"/>
    <w:rsid w:val="00151219"/>
    <w:rsid w:val="00151273"/>
    <w:rsid w:val="00151E38"/>
    <w:rsid w:val="00152CE2"/>
    <w:rsid w:val="001531A9"/>
    <w:rsid w:val="00155145"/>
    <w:rsid w:val="00155C8A"/>
    <w:rsid w:val="00155CC4"/>
    <w:rsid w:val="00160611"/>
    <w:rsid w:val="00161E2A"/>
    <w:rsid w:val="00162072"/>
    <w:rsid w:val="001647E2"/>
    <w:rsid w:val="00164C3B"/>
    <w:rsid w:val="00165B58"/>
    <w:rsid w:val="00166677"/>
    <w:rsid w:val="00166D74"/>
    <w:rsid w:val="0017090C"/>
    <w:rsid w:val="00172C98"/>
    <w:rsid w:val="00172E8A"/>
    <w:rsid w:val="00175AE0"/>
    <w:rsid w:val="00175DD8"/>
    <w:rsid w:val="00176325"/>
    <w:rsid w:val="00176E62"/>
    <w:rsid w:val="00176EB6"/>
    <w:rsid w:val="00181259"/>
    <w:rsid w:val="001815D1"/>
    <w:rsid w:val="00181EFB"/>
    <w:rsid w:val="00181F0D"/>
    <w:rsid w:val="001829CF"/>
    <w:rsid w:val="00182FEB"/>
    <w:rsid w:val="00183426"/>
    <w:rsid w:val="001843D4"/>
    <w:rsid w:val="0018474F"/>
    <w:rsid w:val="00184A0D"/>
    <w:rsid w:val="00185033"/>
    <w:rsid w:val="001850E3"/>
    <w:rsid w:val="001867EA"/>
    <w:rsid w:val="00187C7D"/>
    <w:rsid w:val="00190558"/>
    <w:rsid w:val="00191A8C"/>
    <w:rsid w:val="00191C09"/>
    <w:rsid w:val="00193452"/>
    <w:rsid w:val="0019393F"/>
    <w:rsid w:val="00193951"/>
    <w:rsid w:val="00194055"/>
    <w:rsid w:val="00194BCF"/>
    <w:rsid w:val="00194FE2"/>
    <w:rsid w:val="0019522B"/>
    <w:rsid w:val="001955A0"/>
    <w:rsid w:val="00195B4D"/>
    <w:rsid w:val="001965F3"/>
    <w:rsid w:val="00197288"/>
    <w:rsid w:val="00197463"/>
    <w:rsid w:val="001A02AC"/>
    <w:rsid w:val="001A083D"/>
    <w:rsid w:val="001A0FD0"/>
    <w:rsid w:val="001A1412"/>
    <w:rsid w:val="001A1423"/>
    <w:rsid w:val="001A1A7B"/>
    <w:rsid w:val="001A1FC0"/>
    <w:rsid w:val="001A218A"/>
    <w:rsid w:val="001A26E5"/>
    <w:rsid w:val="001A4374"/>
    <w:rsid w:val="001A45A1"/>
    <w:rsid w:val="001A50EA"/>
    <w:rsid w:val="001A70AA"/>
    <w:rsid w:val="001A74B3"/>
    <w:rsid w:val="001B127B"/>
    <w:rsid w:val="001B340F"/>
    <w:rsid w:val="001B389C"/>
    <w:rsid w:val="001B4C66"/>
    <w:rsid w:val="001B51A0"/>
    <w:rsid w:val="001B52FA"/>
    <w:rsid w:val="001B56C7"/>
    <w:rsid w:val="001B62EF"/>
    <w:rsid w:val="001B7205"/>
    <w:rsid w:val="001B7373"/>
    <w:rsid w:val="001B7BBD"/>
    <w:rsid w:val="001C070C"/>
    <w:rsid w:val="001C0A7A"/>
    <w:rsid w:val="001C2F16"/>
    <w:rsid w:val="001C3A7D"/>
    <w:rsid w:val="001C6261"/>
    <w:rsid w:val="001D21FD"/>
    <w:rsid w:val="001D22BE"/>
    <w:rsid w:val="001D35A2"/>
    <w:rsid w:val="001D3952"/>
    <w:rsid w:val="001D48D8"/>
    <w:rsid w:val="001D640C"/>
    <w:rsid w:val="001D70AF"/>
    <w:rsid w:val="001E14DE"/>
    <w:rsid w:val="001E1D2B"/>
    <w:rsid w:val="001E2867"/>
    <w:rsid w:val="001E2F98"/>
    <w:rsid w:val="001E34E4"/>
    <w:rsid w:val="001E3A38"/>
    <w:rsid w:val="001E4531"/>
    <w:rsid w:val="001E6107"/>
    <w:rsid w:val="001E6BFD"/>
    <w:rsid w:val="001E7FA1"/>
    <w:rsid w:val="001F0473"/>
    <w:rsid w:val="001F1E18"/>
    <w:rsid w:val="001F3181"/>
    <w:rsid w:val="001F3522"/>
    <w:rsid w:val="001F3C04"/>
    <w:rsid w:val="001F3CB7"/>
    <w:rsid w:val="001F4169"/>
    <w:rsid w:val="001F441F"/>
    <w:rsid w:val="001F5D0A"/>
    <w:rsid w:val="001F6466"/>
    <w:rsid w:val="001F67FC"/>
    <w:rsid w:val="001F6CE5"/>
    <w:rsid w:val="0020032C"/>
    <w:rsid w:val="0020083F"/>
    <w:rsid w:val="00202152"/>
    <w:rsid w:val="00203002"/>
    <w:rsid w:val="002042FA"/>
    <w:rsid w:val="00205380"/>
    <w:rsid w:val="002056D6"/>
    <w:rsid w:val="00206145"/>
    <w:rsid w:val="00210F75"/>
    <w:rsid w:val="00210FAA"/>
    <w:rsid w:val="00211F68"/>
    <w:rsid w:val="00212290"/>
    <w:rsid w:val="002125C5"/>
    <w:rsid w:val="00212982"/>
    <w:rsid w:val="00213210"/>
    <w:rsid w:val="00215330"/>
    <w:rsid w:val="0021685E"/>
    <w:rsid w:val="00217B05"/>
    <w:rsid w:val="002215FD"/>
    <w:rsid w:val="002227F0"/>
    <w:rsid w:val="00225073"/>
    <w:rsid w:val="00225598"/>
    <w:rsid w:val="00226A38"/>
    <w:rsid w:val="00227C45"/>
    <w:rsid w:val="002307F9"/>
    <w:rsid w:val="00230DEE"/>
    <w:rsid w:val="002317B4"/>
    <w:rsid w:val="00232F5A"/>
    <w:rsid w:val="002336ED"/>
    <w:rsid w:val="002338CB"/>
    <w:rsid w:val="002348EF"/>
    <w:rsid w:val="00234966"/>
    <w:rsid w:val="00235536"/>
    <w:rsid w:val="00235D2D"/>
    <w:rsid w:val="0023602B"/>
    <w:rsid w:val="00236F6E"/>
    <w:rsid w:val="00237AE9"/>
    <w:rsid w:val="002419D3"/>
    <w:rsid w:val="00241D0F"/>
    <w:rsid w:val="0024273B"/>
    <w:rsid w:val="00243118"/>
    <w:rsid w:val="002433D5"/>
    <w:rsid w:val="00243524"/>
    <w:rsid w:val="0024590C"/>
    <w:rsid w:val="00245C14"/>
    <w:rsid w:val="0024624E"/>
    <w:rsid w:val="002472E2"/>
    <w:rsid w:val="00250645"/>
    <w:rsid w:val="002510A3"/>
    <w:rsid w:val="002514D4"/>
    <w:rsid w:val="002519EF"/>
    <w:rsid w:val="00251E06"/>
    <w:rsid w:val="00252786"/>
    <w:rsid w:val="00253CDC"/>
    <w:rsid w:val="00256B52"/>
    <w:rsid w:val="00257451"/>
    <w:rsid w:val="0026165D"/>
    <w:rsid w:val="0026342D"/>
    <w:rsid w:val="002644C5"/>
    <w:rsid w:val="002666FF"/>
    <w:rsid w:val="00266BCA"/>
    <w:rsid w:val="002674ED"/>
    <w:rsid w:val="00272229"/>
    <w:rsid w:val="00272ADE"/>
    <w:rsid w:val="00274647"/>
    <w:rsid w:val="00276F55"/>
    <w:rsid w:val="00280EC8"/>
    <w:rsid w:val="00280FFE"/>
    <w:rsid w:val="002812D9"/>
    <w:rsid w:val="0028185B"/>
    <w:rsid w:val="00284C3A"/>
    <w:rsid w:val="00284F70"/>
    <w:rsid w:val="00285B3A"/>
    <w:rsid w:val="0028696B"/>
    <w:rsid w:val="00292A57"/>
    <w:rsid w:val="00292B4B"/>
    <w:rsid w:val="00293018"/>
    <w:rsid w:val="0029396E"/>
    <w:rsid w:val="002945C6"/>
    <w:rsid w:val="002946FD"/>
    <w:rsid w:val="00294BCC"/>
    <w:rsid w:val="0029536C"/>
    <w:rsid w:val="00295B2A"/>
    <w:rsid w:val="00297738"/>
    <w:rsid w:val="002A118D"/>
    <w:rsid w:val="002A1F7C"/>
    <w:rsid w:val="002A1FC9"/>
    <w:rsid w:val="002A22AC"/>
    <w:rsid w:val="002A47FD"/>
    <w:rsid w:val="002A7D2D"/>
    <w:rsid w:val="002B01A2"/>
    <w:rsid w:val="002B1165"/>
    <w:rsid w:val="002B1618"/>
    <w:rsid w:val="002B2223"/>
    <w:rsid w:val="002B22F4"/>
    <w:rsid w:val="002B2C44"/>
    <w:rsid w:val="002B3142"/>
    <w:rsid w:val="002B42A7"/>
    <w:rsid w:val="002B58CD"/>
    <w:rsid w:val="002B66BD"/>
    <w:rsid w:val="002B6B47"/>
    <w:rsid w:val="002B6D5F"/>
    <w:rsid w:val="002B7416"/>
    <w:rsid w:val="002B7F51"/>
    <w:rsid w:val="002C02A1"/>
    <w:rsid w:val="002C1A66"/>
    <w:rsid w:val="002C1BB8"/>
    <w:rsid w:val="002C1FFF"/>
    <w:rsid w:val="002C37AE"/>
    <w:rsid w:val="002C534D"/>
    <w:rsid w:val="002C5AB8"/>
    <w:rsid w:val="002C6ECC"/>
    <w:rsid w:val="002C6F2F"/>
    <w:rsid w:val="002C7C2E"/>
    <w:rsid w:val="002C7CF6"/>
    <w:rsid w:val="002D05EA"/>
    <w:rsid w:val="002D064C"/>
    <w:rsid w:val="002D084C"/>
    <w:rsid w:val="002D1C68"/>
    <w:rsid w:val="002D38DA"/>
    <w:rsid w:val="002D3A80"/>
    <w:rsid w:val="002D5ED9"/>
    <w:rsid w:val="002D7921"/>
    <w:rsid w:val="002D7E15"/>
    <w:rsid w:val="002D7F67"/>
    <w:rsid w:val="002E00E9"/>
    <w:rsid w:val="002E0F64"/>
    <w:rsid w:val="002E139A"/>
    <w:rsid w:val="002E1E4F"/>
    <w:rsid w:val="002E1E5E"/>
    <w:rsid w:val="002E24D4"/>
    <w:rsid w:val="002E353C"/>
    <w:rsid w:val="002E4F50"/>
    <w:rsid w:val="002E757A"/>
    <w:rsid w:val="002F1097"/>
    <w:rsid w:val="002F4E41"/>
    <w:rsid w:val="002F5A5C"/>
    <w:rsid w:val="00300FB0"/>
    <w:rsid w:val="003049F8"/>
    <w:rsid w:val="00304A38"/>
    <w:rsid w:val="0031102F"/>
    <w:rsid w:val="00312EF2"/>
    <w:rsid w:val="0031381D"/>
    <w:rsid w:val="00313866"/>
    <w:rsid w:val="003148EA"/>
    <w:rsid w:val="00316B2F"/>
    <w:rsid w:val="0032166C"/>
    <w:rsid w:val="00321C03"/>
    <w:rsid w:val="003225FC"/>
    <w:rsid w:val="00323087"/>
    <w:rsid w:val="00323C17"/>
    <w:rsid w:val="00323E2E"/>
    <w:rsid w:val="00325B3F"/>
    <w:rsid w:val="00327A88"/>
    <w:rsid w:val="00327BF0"/>
    <w:rsid w:val="00327CDA"/>
    <w:rsid w:val="00331874"/>
    <w:rsid w:val="0033283C"/>
    <w:rsid w:val="00333C80"/>
    <w:rsid w:val="003346F6"/>
    <w:rsid w:val="00334958"/>
    <w:rsid w:val="00336D44"/>
    <w:rsid w:val="003406BB"/>
    <w:rsid w:val="0034132F"/>
    <w:rsid w:val="00341D68"/>
    <w:rsid w:val="00341E3D"/>
    <w:rsid w:val="00341F7E"/>
    <w:rsid w:val="00347B57"/>
    <w:rsid w:val="003513C6"/>
    <w:rsid w:val="00351DE5"/>
    <w:rsid w:val="00352764"/>
    <w:rsid w:val="00352AEF"/>
    <w:rsid w:val="00353977"/>
    <w:rsid w:val="0035454B"/>
    <w:rsid w:val="0035474E"/>
    <w:rsid w:val="00355811"/>
    <w:rsid w:val="00355D54"/>
    <w:rsid w:val="003601FB"/>
    <w:rsid w:val="0036030D"/>
    <w:rsid w:val="00360671"/>
    <w:rsid w:val="0036221D"/>
    <w:rsid w:val="00362935"/>
    <w:rsid w:val="00363CB0"/>
    <w:rsid w:val="00365BCE"/>
    <w:rsid w:val="00367A0B"/>
    <w:rsid w:val="003715DE"/>
    <w:rsid w:val="003722A4"/>
    <w:rsid w:val="00372557"/>
    <w:rsid w:val="0037314B"/>
    <w:rsid w:val="0037358B"/>
    <w:rsid w:val="00374563"/>
    <w:rsid w:val="00374DBC"/>
    <w:rsid w:val="00375FBB"/>
    <w:rsid w:val="00376131"/>
    <w:rsid w:val="00377437"/>
    <w:rsid w:val="003814C1"/>
    <w:rsid w:val="0038390F"/>
    <w:rsid w:val="00385283"/>
    <w:rsid w:val="003854C1"/>
    <w:rsid w:val="00385DDA"/>
    <w:rsid w:val="0038626F"/>
    <w:rsid w:val="00386BB8"/>
    <w:rsid w:val="003879DF"/>
    <w:rsid w:val="0039068C"/>
    <w:rsid w:val="00392A26"/>
    <w:rsid w:val="00394986"/>
    <w:rsid w:val="003950A6"/>
    <w:rsid w:val="0039539A"/>
    <w:rsid w:val="00396C35"/>
    <w:rsid w:val="003975D1"/>
    <w:rsid w:val="0039763F"/>
    <w:rsid w:val="003A0357"/>
    <w:rsid w:val="003A2449"/>
    <w:rsid w:val="003A4C68"/>
    <w:rsid w:val="003A4ECC"/>
    <w:rsid w:val="003A58F5"/>
    <w:rsid w:val="003B022F"/>
    <w:rsid w:val="003B02B3"/>
    <w:rsid w:val="003B256C"/>
    <w:rsid w:val="003B27A2"/>
    <w:rsid w:val="003B3570"/>
    <w:rsid w:val="003B4819"/>
    <w:rsid w:val="003B4EAE"/>
    <w:rsid w:val="003B5340"/>
    <w:rsid w:val="003B59F2"/>
    <w:rsid w:val="003B725A"/>
    <w:rsid w:val="003B7BA5"/>
    <w:rsid w:val="003C0DEE"/>
    <w:rsid w:val="003C2762"/>
    <w:rsid w:val="003C4094"/>
    <w:rsid w:val="003C5611"/>
    <w:rsid w:val="003C5EC2"/>
    <w:rsid w:val="003C6C20"/>
    <w:rsid w:val="003C6CA9"/>
    <w:rsid w:val="003C7423"/>
    <w:rsid w:val="003C7CCD"/>
    <w:rsid w:val="003C7FD4"/>
    <w:rsid w:val="003D0551"/>
    <w:rsid w:val="003D2199"/>
    <w:rsid w:val="003D272D"/>
    <w:rsid w:val="003D2730"/>
    <w:rsid w:val="003D300C"/>
    <w:rsid w:val="003D3329"/>
    <w:rsid w:val="003D3E21"/>
    <w:rsid w:val="003D4085"/>
    <w:rsid w:val="003D4332"/>
    <w:rsid w:val="003D4A84"/>
    <w:rsid w:val="003D58F8"/>
    <w:rsid w:val="003D79EC"/>
    <w:rsid w:val="003D7A3C"/>
    <w:rsid w:val="003E0504"/>
    <w:rsid w:val="003E12A8"/>
    <w:rsid w:val="003E4C39"/>
    <w:rsid w:val="003E6B4F"/>
    <w:rsid w:val="003E7514"/>
    <w:rsid w:val="003F203A"/>
    <w:rsid w:val="003F254F"/>
    <w:rsid w:val="003F3970"/>
    <w:rsid w:val="003F52B0"/>
    <w:rsid w:val="003F765A"/>
    <w:rsid w:val="004001BF"/>
    <w:rsid w:val="00400545"/>
    <w:rsid w:val="0040738C"/>
    <w:rsid w:val="00410D0A"/>
    <w:rsid w:val="00413FD0"/>
    <w:rsid w:val="00414D6B"/>
    <w:rsid w:val="00414F6D"/>
    <w:rsid w:val="00420142"/>
    <w:rsid w:val="0042125D"/>
    <w:rsid w:val="00421623"/>
    <w:rsid w:val="0042170E"/>
    <w:rsid w:val="00422B03"/>
    <w:rsid w:val="00424D6B"/>
    <w:rsid w:val="00426C73"/>
    <w:rsid w:val="00431A71"/>
    <w:rsid w:val="00432121"/>
    <w:rsid w:val="00432821"/>
    <w:rsid w:val="00432AEE"/>
    <w:rsid w:val="00432B03"/>
    <w:rsid w:val="00432B37"/>
    <w:rsid w:val="00433A5F"/>
    <w:rsid w:val="00434D42"/>
    <w:rsid w:val="00434FC6"/>
    <w:rsid w:val="00435175"/>
    <w:rsid w:val="0043562D"/>
    <w:rsid w:val="004361DC"/>
    <w:rsid w:val="00436C78"/>
    <w:rsid w:val="004414E0"/>
    <w:rsid w:val="0044279E"/>
    <w:rsid w:val="00446D73"/>
    <w:rsid w:val="00447155"/>
    <w:rsid w:val="00447CD8"/>
    <w:rsid w:val="00451805"/>
    <w:rsid w:val="00451939"/>
    <w:rsid w:val="00451A64"/>
    <w:rsid w:val="00451EF1"/>
    <w:rsid w:val="00453159"/>
    <w:rsid w:val="0045414D"/>
    <w:rsid w:val="00454886"/>
    <w:rsid w:val="00454B08"/>
    <w:rsid w:val="00456B32"/>
    <w:rsid w:val="0045791C"/>
    <w:rsid w:val="00460343"/>
    <w:rsid w:val="00461373"/>
    <w:rsid w:val="00461850"/>
    <w:rsid w:val="00462F92"/>
    <w:rsid w:val="00463C63"/>
    <w:rsid w:val="004644BB"/>
    <w:rsid w:val="00465106"/>
    <w:rsid w:val="00466185"/>
    <w:rsid w:val="004665B4"/>
    <w:rsid w:val="00466D55"/>
    <w:rsid w:val="00467CEE"/>
    <w:rsid w:val="004714F6"/>
    <w:rsid w:val="004722C7"/>
    <w:rsid w:val="00472919"/>
    <w:rsid w:val="0047532B"/>
    <w:rsid w:val="00477028"/>
    <w:rsid w:val="0047782A"/>
    <w:rsid w:val="004807C0"/>
    <w:rsid w:val="00481BD9"/>
    <w:rsid w:val="004829B6"/>
    <w:rsid w:val="00484787"/>
    <w:rsid w:val="00485614"/>
    <w:rsid w:val="00486FCD"/>
    <w:rsid w:val="00492B40"/>
    <w:rsid w:val="00492CAC"/>
    <w:rsid w:val="00495166"/>
    <w:rsid w:val="00496A4B"/>
    <w:rsid w:val="00496D7A"/>
    <w:rsid w:val="004A0A51"/>
    <w:rsid w:val="004A0DD3"/>
    <w:rsid w:val="004A160B"/>
    <w:rsid w:val="004A2A4B"/>
    <w:rsid w:val="004A6603"/>
    <w:rsid w:val="004A749F"/>
    <w:rsid w:val="004B10E6"/>
    <w:rsid w:val="004B2CE5"/>
    <w:rsid w:val="004B3ABE"/>
    <w:rsid w:val="004B4991"/>
    <w:rsid w:val="004B55B8"/>
    <w:rsid w:val="004B6FBD"/>
    <w:rsid w:val="004B7F63"/>
    <w:rsid w:val="004C0415"/>
    <w:rsid w:val="004C159D"/>
    <w:rsid w:val="004C2E8A"/>
    <w:rsid w:val="004C3927"/>
    <w:rsid w:val="004C3EEF"/>
    <w:rsid w:val="004C61D5"/>
    <w:rsid w:val="004C73A6"/>
    <w:rsid w:val="004D0EE3"/>
    <w:rsid w:val="004D2522"/>
    <w:rsid w:val="004D2594"/>
    <w:rsid w:val="004D3500"/>
    <w:rsid w:val="004D39BF"/>
    <w:rsid w:val="004D448C"/>
    <w:rsid w:val="004D6C94"/>
    <w:rsid w:val="004D755D"/>
    <w:rsid w:val="004E397E"/>
    <w:rsid w:val="004E3C51"/>
    <w:rsid w:val="004E5B8F"/>
    <w:rsid w:val="004E6330"/>
    <w:rsid w:val="004E715E"/>
    <w:rsid w:val="004E78B0"/>
    <w:rsid w:val="004E7CDD"/>
    <w:rsid w:val="004E7F7D"/>
    <w:rsid w:val="004F154B"/>
    <w:rsid w:val="004F25DE"/>
    <w:rsid w:val="004F265F"/>
    <w:rsid w:val="004F480B"/>
    <w:rsid w:val="004F4976"/>
    <w:rsid w:val="004F64CA"/>
    <w:rsid w:val="004F745D"/>
    <w:rsid w:val="004F7C0F"/>
    <w:rsid w:val="0050115A"/>
    <w:rsid w:val="0050402F"/>
    <w:rsid w:val="005042DC"/>
    <w:rsid w:val="00504475"/>
    <w:rsid w:val="005053B8"/>
    <w:rsid w:val="00505864"/>
    <w:rsid w:val="00506E3E"/>
    <w:rsid w:val="005102DB"/>
    <w:rsid w:val="0051030B"/>
    <w:rsid w:val="005105AB"/>
    <w:rsid w:val="0051127E"/>
    <w:rsid w:val="005118A9"/>
    <w:rsid w:val="00511BED"/>
    <w:rsid w:val="00511D84"/>
    <w:rsid w:val="005130AF"/>
    <w:rsid w:val="00513777"/>
    <w:rsid w:val="005145A0"/>
    <w:rsid w:val="00515208"/>
    <w:rsid w:val="00516E48"/>
    <w:rsid w:val="00521332"/>
    <w:rsid w:val="005215AE"/>
    <w:rsid w:val="00522C67"/>
    <w:rsid w:val="00525CE3"/>
    <w:rsid w:val="00525EE4"/>
    <w:rsid w:val="005260D1"/>
    <w:rsid w:val="00526689"/>
    <w:rsid w:val="00526BF1"/>
    <w:rsid w:val="005304AD"/>
    <w:rsid w:val="00532202"/>
    <w:rsid w:val="00533463"/>
    <w:rsid w:val="00535B35"/>
    <w:rsid w:val="005361DC"/>
    <w:rsid w:val="00536733"/>
    <w:rsid w:val="00542EC4"/>
    <w:rsid w:val="0054379B"/>
    <w:rsid w:val="00543844"/>
    <w:rsid w:val="005446C5"/>
    <w:rsid w:val="00544DCF"/>
    <w:rsid w:val="00544E87"/>
    <w:rsid w:val="00546014"/>
    <w:rsid w:val="0054790C"/>
    <w:rsid w:val="00550DA7"/>
    <w:rsid w:val="00550DB0"/>
    <w:rsid w:val="00550DCE"/>
    <w:rsid w:val="00551D98"/>
    <w:rsid w:val="00552383"/>
    <w:rsid w:val="0055298B"/>
    <w:rsid w:val="005542A6"/>
    <w:rsid w:val="0055469B"/>
    <w:rsid w:val="00554835"/>
    <w:rsid w:val="005548EF"/>
    <w:rsid w:val="00555A04"/>
    <w:rsid w:val="00555CFC"/>
    <w:rsid w:val="00556A94"/>
    <w:rsid w:val="005579AB"/>
    <w:rsid w:val="00561BD5"/>
    <w:rsid w:val="005629FD"/>
    <w:rsid w:val="00562A29"/>
    <w:rsid w:val="0056462D"/>
    <w:rsid w:val="00565C90"/>
    <w:rsid w:val="00567A7F"/>
    <w:rsid w:val="005708E0"/>
    <w:rsid w:val="0057094D"/>
    <w:rsid w:val="00574F0A"/>
    <w:rsid w:val="00575073"/>
    <w:rsid w:val="005752B8"/>
    <w:rsid w:val="0057611A"/>
    <w:rsid w:val="00576EBA"/>
    <w:rsid w:val="00580ABA"/>
    <w:rsid w:val="00581865"/>
    <w:rsid w:val="00581904"/>
    <w:rsid w:val="0058616F"/>
    <w:rsid w:val="005869DA"/>
    <w:rsid w:val="005869EF"/>
    <w:rsid w:val="005908F4"/>
    <w:rsid w:val="00591397"/>
    <w:rsid w:val="00591F76"/>
    <w:rsid w:val="00594D29"/>
    <w:rsid w:val="005962E8"/>
    <w:rsid w:val="0059645D"/>
    <w:rsid w:val="005967C5"/>
    <w:rsid w:val="005A1213"/>
    <w:rsid w:val="005A46F6"/>
    <w:rsid w:val="005A50C9"/>
    <w:rsid w:val="005A6ABA"/>
    <w:rsid w:val="005A6DDB"/>
    <w:rsid w:val="005A717E"/>
    <w:rsid w:val="005A7FE6"/>
    <w:rsid w:val="005B092D"/>
    <w:rsid w:val="005B13F6"/>
    <w:rsid w:val="005B230B"/>
    <w:rsid w:val="005B39C2"/>
    <w:rsid w:val="005B3AD1"/>
    <w:rsid w:val="005B40ED"/>
    <w:rsid w:val="005B73E9"/>
    <w:rsid w:val="005B7741"/>
    <w:rsid w:val="005B78A5"/>
    <w:rsid w:val="005B7A02"/>
    <w:rsid w:val="005C0724"/>
    <w:rsid w:val="005C25DB"/>
    <w:rsid w:val="005C3833"/>
    <w:rsid w:val="005C4D7C"/>
    <w:rsid w:val="005C6D1B"/>
    <w:rsid w:val="005D0651"/>
    <w:rsid w:val="005D3726"/>
    <w:rsid w:val="005D4124"/>
    <w:rsid w:val="005D5E65"/>
    <w:rsid w:val="005D6595"/>
    <w:rsid w:val="005D687C"/>
    <w:rsid w:val="005D6A97"/>
    <w:rsid w:val="005E1992"/>
    <w:rsid w:val="005E1CF4"/>
    <w:rsid w:val="005E1E7C"/>
    <w:rsid w:val="005E28D8"/>
    <w:rsid w:val="005E2FE7"/>
    <w:rsid w:val="005E340D"/>
    <w:rsid w:val="005E3E20"/>
    <w:rsid w:val="005E414B"/>
    <w:rsid w:val="005E5793"/>
    <w:rsid w:val="005E5A11"/>
    <w:rsid w:val="005E62A8"/>
    <w:rsid w:val="005E7CD2"/>
    <w:rsid w:val="005F0D00"/>
    <w:rsid w:val="005F253A"/>
    <w:rsid w:val="005F3002"/>
    <w:rsid w:val="005F5EBF"/>
    <w:rsid w:val="005F75FC"/>
    <w:rsid w:val="00600073"/>
    <w:rsid w:val="00601584"/>
    <w:rsid w:val="00601E78"/>
    <w:rsid w:val="00601FDC"/>
    <w:rsid w:val="00602109"/>
    <w:rsid w:val="00603755"/>
    <w:rsid w:val="006037E9"/>
    <w:rsid w:val="0060501D"/>
    <w:rsid w:val="00605552"/>
    <w:rsid w:val="0060626F"/>
    <w:rsid w:val="00607E23"/>
    <w:rsid w:val="00611043"/>
    <w:rsid w:val="00611F29"/>
    <w:rsid w:val="00613B10"/>
    <w:rsid w:val="00614DE7"/>
    <w:rsid w:val="00615EB1"/>
    <w:rsid w:val="00616890"/>
    <w:rsid w:val="00620A5A"/>
    <w:rsid w:val="00620EFA"/>
    <w:rsid w:val="006211ED"/>
    <w:rsid w:val="00621E4A"/>
    <w:rsid w:val="0062504F"/>
    <w:rsid w:val="00625270"/>
    <w:rsid w:val="006252AE"/>
    <w:rsid w:val="006254B3"/>
    <w:rsid w:val="00625AD5"/>
    <w:rsid w:val="00626AFE"/>
    <w:rsid w:val="006278B9"/>
    <w:rsid w:val="006308FE"/>
    <w:rsid w:val="00632003"/>
    <w:rsid w:val="00632C78"/>
    <w:rsid w:val="00633A0B"/>
    <w:rsid w:val="00634759"/>
    <w:rsid w:val="0063596C"/>
    <w:rsid w:val="00636A57"/>
    <w:rsid w:val="0064295A"/>
    <w:rsid w:val="0064629B"/>
    <w:rsid w:val="00646665"/>
    <w:rsid w:val="006472C9"/>
    <w:rsid w:val="00650A91"/>
    <w:rsid w:val="00650EE3"/>
    <w:rsid w:val="0065129B"/>
    <w:rsid w:val="00651F14"/>
    <w:rsid w:val="00652C2D"/>
    <w:rsid w:val="00657304"/>
    <w:rsid w:val="0066021C"/>
    <w:rsid w:val="00662401"/>
    <w:rsid w:val="006624BF"/>
    <w:rsid w:val="006631E7"/>
    <w:rsid w:val="00665455"/>
    <w:rsid w:val="006668AA"/>
    <w:rsid w:val="00666EF4"/>
    <w:rsid w:val="0067131B"/>
    <w:rsid w:val="006732EB"/>
    <w:rsid w:val="00676D97"/>
    <w:rsid w:val="00677517"/>
    <w:rsid w:val="00680C3B"/>
    <w:rsid w:val="00680E43"/>
    <w:rsid w:val="00681B22"/>
    <w:rsid w:val="006823B6"/>
    <w:rsid w:val="0068294C"/>
    <w:rsid w:val="006838A0"/>
    <w:rsid w:val="006849D5"/>
    <w:rsid w:val="00690CE5"/>
    <w:rsid w:val="00690FF1"/>
    <w:rsid w:val="0069107F"/>
    <w:rsid w:val="00691480"/>
    <w:rsid w:val="00696E3B"/>
    <w:rsid w:val="00696FFE"/>
    <w:rsid w:val="006A072A"/>
    <w:rsid w:val="006A0F04"/>
    <w:rsid w:val="006A19AE"/>
    <w:rsid w:val="006A332A"/>
    <w:rsid w:val="006A39B1"/>
    <w:rsid w:val="006A3BE5"/>
    <w:rsid w:val="006A3BFC"/>
    <w:rsid w:val="006A7111"/>
    <w:rsid w:val="006A713D"/>
    <w:rsid w:val="006A7D68"/>
    <w:rsid w:val="006B078A"/>
    <w:rsid w:val="006B15B8"/>
    <w:rsid w:val="006B254D"/>
    <w:rsid w:val="006B2754"/>
    <w:rsid w:val="006B30E6"/>
    <w:rsid w:val="006B4A38"/>
    <w:rsid w:val="006B4D1E"/>
    <w:rsid w:val="006B5714"/>
    <w:rsid w:val="006B6F5E"/>
    <w:rsid w:val="006C1C28"/>
    <w:rsid w:val="006C23E7"/>
    <w:rsid w:val="006C7D5F"/>
    <w:rsid w:val="006D2076"/>
    <w:rsid w:val="006D2635"/>
    <w:rsid w:val="006D2782"/>
    <w:rsid w:val="006D3A91"/>
    <w:rsid w:val="006D4011"/>
    <w:rsid w:val="006D4150"/>
    <w:rsid w:val="006D60B1"/>
    <w:rsid w:val="006E057A"/>
    <w:rsid w:val="006E0A4B"/>
    <w:rsid w:val="006E245C"/>
    <w:rsid w:val="006E2857"/>
    <w:rsid w:val="006E2891"/>
    <w:rsid w:val="006E3EE4"/>
    <w:rsid w:val="006E414F"/>
    <w:rsid w:val="006E44C3"/>
    <w:rsid w:val="006E469C"/>
    <w:rsid w:val="006E67E8"/>
    <w:rsid w:val="006E7BB6"/>
    <w:rsid w:val="006E7FED"/>
    <w:rsid w:val="006F3259"/>
    <w:rsid w:val="006F3836"/>
    <w:rsid w:val="006F4198"/>
    <w:rsid w:val="006F4E25"/>
    <w:rsid w:val="006F57AE"/>
    <w:rsid w:val="006F654A"/>
    <w:rsid w:val="006F6600"/>
    <w:rsid w:val="007003EE"/>
    <w:rsid w:val="007008DC"/>
    <w:rsid w:val="0070124D"/>
    <w:rsid w:val="00704730"/>
    <w:rsid w:val="007048DB"/>
    <w:rsid w:val="00704D6A"/>
    <w:rsid w:val="0070517E"/>
    <w:rsid w:val="00706BBC"/>
    <w:rsid w:val="0070796A"/>
    <w:rsid w:val="00710B2B"/>
    <w:rsid w:val="0071444E"/>
    <w:rsid w:val="007154E8"/>
    <w:rsid w:val="00715C7F"/>
    <w:rsid w:val="00720694"/>
    <w:rsid w:val="00723237"/>
    <w:rsid w:val="0072348E"/>
    <w:rsid w:val="00724B82"/>
    <w:rsid w:val="007265A9"/>
    <w:rsid w:val="00733662"/>
    <w:rsid w:val="00735F9F"/>
    <w:rsid w:val="00736615"/>
    <w:rsid w:val="00737622"/>
    <w:rsid w:val="0074021D"/>
    <w:rsid w:val="00741F6B"/>
    <w:rsid w:val="0074277F"/>
    <w:rsid w:val="00742F1E"/>
    <w:rsid w:val="00743633"/>
    <w:rsid w:val="00744171"/>
    <w:rsid w:val="00744F3B"/>
    <w:rsid w:val="00746A7F"/>
    <w:rsid w:val="0075043D"/>
    <w:rsid w:val="00750FA4"/>
    <w:rsid w:val="007520FC"/>
    <w:rsid w:val="0075211A"/>
    <w:rsid w:val="007537B4"/>
    <w:rsid w:val="00757089"/>
    <w:rsid w:val="0075714C"/>
    <w:rsid w:val="00757715"/>
    <w:rsid w:val="007601A3"/>
    <w:rsid w:val="00760FEC"/>
    <w:rsid w:val="00762B5E"/>
    <w:rsid w:val="00763AE5"/>
    <w:rsid w:val="00764A92"/>
    <w:rsid w:val="0076670F"/>
    <w:rsid w:val="00766710"/>
    <w:rsid w:val="00767569"/>
    <w:rsid w:val="00767C42"/>
    <w:rsid w:val="0077006F"/>
    <w:rsid w:val="007705DF"/>
    <w:rsid w:val="00770795"/>
    <w:rsid w:val="007716CA"/>
    <w:rsid w:val="0077188D"/>
    <w:rsid w:val="00771F45"/>
    <w:rsid w:val="00772AC5"/>
    <w:rsid w:val="00772B55"/>
    <w:rsid w:val="00772CA6"/>
    <w:rsid w:val="00773E80"/>
    <w:rsid w:val="00774112"/>
    <w:rsid w:val="00774955"/>
    <w:rsid w:val="00775D2A"/>
    <w:rsid w:val="00776569"/>
    <w:rsid w:val="00776B82"/>
    <w:rsid w:val="007774CC"/>
    <w:rsid w:val="00777BED"/>
    <w:rsid w:val="007807E9"/>
    <w:rsid w:val="00780E72"/>
    <w:rsid w:val="00782F5E"/>
    <w:rsid w:val="00783BE9"/>
    <w:rsid w:val="00784446"/>
    <w:rsid w:val="00784FFB"/>
    <w:rsid w:val="0078649F"/>
    <w:rsid w:val="00787044"/>
    <w:rsid w:val="00791769"/>
    <w:rsid w:val="00791A6E"/>
    <w:rsid w:val="00792645"/>
    <w:rsid w:val="00793F86"/>
    <w:rsid w:val="0079475D"/>
    <w:rsid w:val="00795E23"/>
    <w:rsid w:val="00796264"/>
    <w:rsid w:val="0079660C"/>
    <w:rsid w:val="00797ACE"/>
    <w:rsid w:val="007A0FB0"/>
    <w:rsid w:val="007A2F47"/>
    <w:rsid w:val="007A3679"/>
    <w:rsid w:val="007A3FB3"/>
    <w:rsid w:val="007A488A"/>
    <w:rsid w:val="007A50C9"/>
    <w:rsid w:val="007B0DAD"/>
    <w:rsid w:val="007B103C"/>
    <w:rsid w:val="007B1161"/>
    <w:rsid w:val="007B127B"/>
    <w:rsid w:val="007B1553"/>
    <w:rsid w:val="007B29B8"/>
    <w:rsid w:val="007B52EF"/>
    <w:rsid w:val="007B720F"/>
    <w:rsid w:val="007C0317"/>
    <w:rsid w:val="007C3595"/>
    <w:rsid w:val="007C3736"/>
    <w:rsid w:val="007C4CF7"/>
    <w:rsid w:val="007C51D9"/>
    <w:rsid w:val="007C6006"/>
    <w:rsid w:val="007C7BB9"/>
    <w:rsid w:val="007C7D28"/>
    <w:rsid w:val="007D2A2D"/>
    <w:rsid w:val="007D3186"/>
    <w:rsid w:val="007D4A4A"/>
    <w:rsid w:val="007D4E60"/>
    <w:rsid w:val="007D6686"/>
    <w:rsid w:val="007D6AA0"/>
    <w:rsid w:val="007E13BD"/>
    <w:rsid w:val="007E169E"/>
    <w:rsid w:val="007E1FB3"/>
    <w:rsid w:val="007E352B"/>
    <w:rsid w:val="007E357F"/>
    <w:rsid w:val="007E40ED"/>
    <w:rsid w:val="007E5801"/>
    <w:rsid w:val="007F0421"/>
    <w:rsid w:val="007F3CF0"/>
    <w:rsid w:val="007F54EB"/>
    <w:rsid w:val="007F5A69"/>
    <w:rsid w:val="007F5F25"/>
    <w:rsid w:val="007F6D49"/>
    <w:rsid w:val="007F7B0F"/>
    <w:rsid w:val="00802C7D"/>
    <w:rsid w:val="0080339C"/>
    <w:rsid w:val="00804897"/>
    <w:rsid w:val="0081150C"/>
    <w:rsid w:val="008135E0"/>
    <w:rsid w:val="008165B2"/>
    <w:rsid w:val="00816D34"/>
    <w:rsid w:val="00820330"/>
    <w:rsid w:val="00820490"/>
    <w:rsid w:val="00821705"/>
    <w:rsid w:val="008234E3"/>
    <w:rsid w:val="00823FCD"/>
    <w:rsid w:val="00824B2C"/>
    <w:rsid w:val="008255D2"/>
    <w:rsid w:val="00826885"/>
    <w:rsid w:val="008274C5"/>
    <w:rsid w:val="0083205D"/>
    <w:rsid w:val="0083214B"/>
    <w:rsid w:val="0083297B"/>
    <w:rsid w:val="00833B94"/>
    <w:rsid w:val="00834C9F"/>
    <w:rsid w:val="008365E6"/>
    <w:rsid w:val="008369FB"/>
    <w:rsid w:val="00836AE6"/>
    <w:rsid w:val="00837EE9"/>
    <w:rsid w:val="008402EE"/>
    <w:rsid w:val="008405FA"/>
    <w:rsid w:val="008408AA"/>
    <w:rsid w:val="00841585"/>
    <w:rsid w:val="008430D5"/>
    <w:rsid w:val="00846405"/>
    <w:rsid w:val="008472E4"/>
    <w:rsid w:val="008479FE"/>
    <w:rsid w:val="00850BC0"/>
    <w:rsid w:val="00851291"/>
    <w:rsid w:val="00851EBF"/>
    <w:rsid w:val="00852440"/>
    <w:rsid w:val="00852F32"/>
    <w:rsid w:val="00853567"/>
    <w:rsid w:val="0085360C"/>
    <w:rsid w:val="00853777"/>
    <w:rsid w:val="00853B28"/>
    <w:rsid w:val="00854445"/>
    <w:rsid w:val="00855445"/>
    <w:rsid w:val="0085556B"/>
    <w:rsid w:val="00855919"/>
    <w:rsid w:val="0085677E"/>
    <w:rsid w:val="00856BA8"/>
    <w:rsid w:val="008627C2"/>
    <w:rsid w:val="00863843"/>
    <w:rsid w:val="00863A17"/>
    <w:rsid w:val="00863C72"/>
    <w:rsid w:val="00863CA0"/>
    <w:rsid w:val="00865B00"/>
    <w:rsid w:val="00865B8A"/>
    <w:rsid w:val="00866B10"/>
    <w:rsid w:val="00866F55"/>
    <w:rsid w:val="00867D1F"/>
    <w:rsid w:val="00871373"/>
    <w:rsid w:val="0087165F"/>
    <w:rsid w:val="00871A29"/>
    <w:rsid w:val="0087212A"/>
    <w:rsid w:val="00872657"/>
    <w:rsid w:val="00872FF9"/>
    <w:rsid w:val="00875CEC"/>
    <w:rsid w:val="00876333"/>
    <w:rsid w:val="00876456"/>
    <w:rsid w:val="008766C8"/>
    <w:rsid w:val="008766F3"/>
    <w:rsid w:val="0087748B"/>
    <w:rsid w:val="00881B4D"/>
    <w:rsid w:val="00881FDB"/>
    <w:rsid w:val="008843C3"/>
    <w:rsid w:val="008851F5"/>
    <w:rsid w:val="008878AC"/>
    <w:rsid w:val="00887900"/>
    <w:rsid w:val="00893259"/>
    <w:rsid w:val="00893E25"/>
    <w:rsid w:val="0089412D"/>
    <w:rsid w:val="00894855"/>
    <w:rsid w:val="00895BF6"/>
    <w:rsid w:val="00896076"/>
    <w:rsid w:val="008960BB"/>
    <w:rsid w:val="00896B97"/>
    <w:rsid w:val="00897DE6"/>
    <w:rsid w:val="008A02D6"/>
    <w:rsid w:val="008A0645"/>
    <w:rsid w:val="008A1706"/>
    <w:rsid w:val="008A1C4D"/>
    <w:rsid w:val="008A3CCB"/>
    <w:rsid w:val="008A459E"/>
    <w:rsid w:val="008A4E22"/>
    <w:rsid w:val="008A539B"/>
    <w:rsid w:val="008A627E"/>
    <w:rsid w:val="008A71BF"/>
    <w:rsid w:val="008A797A"/>
    <w:rsid w:val="008B0E57"/>
    <w:rsid w:val="008B2D0F"/>
    <w:rsid w:val="008B3973"/>
    <w:rsid w:val="008B3B25"/>
    <w:rsid w:val="008B4408"/>
    <w:rsid w:val="008B451C"/>
    <w:rsid w:val="008B510F"/>
    <w:rsid w:val="008B7806"/>
    <w:rsid w:val="008C1025"/>
    <w:rsid w:val="008C26A2"/>
    <w:rsid w:val="008C3991"/>
    <w:rsid w:val="008C3E8D"/>
    <w:rsid w:val="008C58C6"/>
    <w:rsid w:val="008D0427"/>
    <w:rsid w:val="008D14D0"/>
    <w:rsid w:val="008D2970"/>
    <w:rsid w:val="008D31D2"/>
    <w:rsid w:val="008D3A4F"/>
    <w:rsid w:val="008D487F"/>
    <w:rsid w:val="008D509E"/>
    <w:rsid w:val="008D54A3"/>
    <w:rsid w:val="008D6336"/>
    <w:rsid w:val="008D637A"/>
    <w:rsid w:val="008D6400"/>
    <w:rsid w:val="008D79EA"/>
    <w:rsid w:val="008E0F63"/>
    <w:rsid w:val="008E10FE"/>
    <w:rsid w:val="008E1433"/>
    <w:rsid w:val="008E42F9"/>
    <w:rsid w:val="008E563D"/>
    <w:rsid w:val="008F13EA"/>
    <w:rsid w:val="008F15AD"/>
    <w:rsid w:val="008F2C6A"/>
    <w:rsid w:val="008F337A"/>
    <w:rsid w:val="008F4275"/>
    <w:rsid w:val="008F4B11"/>
    <w:rsid w:val="008F4EDA"/>
    <w:rsid w:val="008F596C"/>
    <w:rsid w:val="008F5CCB"/>
    <w:rsid w:val="008F6BAB"/>
    <w:rsid w:val="008F6EA3"/>
    <w:rsid w:val="008F7071"/>
    <w:rsid w:val="008F7F22"/>
    <w:rsid w:val="009014C9"/>
    <w:rsid w:val="00901F61"/>
    <w:rsid w:val="009023D4"/>
    <w:rsid w:val="00902B74"/>
    <w:rsid w:val="00904A54"/>
    <w:rsid w:val="00905109"/>
    <w:rsid w:val="00905843"/>
    <w:rsid w:val="00906FD8"/>
    <w:rsid w:val="00907936"/>
    <w:rsid w:val="00910B5A"/>
    <w:rsid w:val="00910EA2"/>
    <w:rsid w:val="00911B95"/>
    <w:rsid w:val="00912A03"/>
    <w:rsid w:val="00914E8D"/>
    <w:rsid w:val="009168D8"/>
    <w:rsid w:val="00916E18"/>
    <w:rsid w:val="00917548"/>
    <w:rsid w:val="009179DB"/>
    <w:rsid w:val="00921C99"/>
    <w:rsid w:val="009220D8"/>
    <w:rsid w:val="00922158"/>
    <w:rsid w:val="0092216C"/>
    <w:rsid w:val="009240F3"/>
    <w:rsid w:val="00924771"/>
    <w:rsid w:val="00924A62"/>
    <w:rsid w:val="009254E3"/>
    <w:rsid w:val="009260A9"/>
    <w:rsid w:val="009301D6"/>
    <w:rsid w:val="009307EA"/>
    <w:rsid w:val="009308B5"/>
    <w:rsid w:val="00932138"/>
    <w:rsid w:val="00933E42"/>
    <w:rsid w:val="00934D89"/>
    <w:rsid w:val="0094141F"/>
    <w:rsid w:val="00941E14"/>
    <w:rsid w:val="009427C0"/>
    <w:rsid w:val="00945337"/>
    <w:rsid w:val="00946D3C"/>
    <w:rsid w:val="0094794B"/>
    <w:rsid w:val="009502E2"/>
    <w:rsid w:val="00952A5A"/>
    <w:rsid w:val="00952CE0"/>
    <w:rsid w:val="00953639"/>
    <w:rsid w:val="009545C8"/>
    <w:rsid w:val="00954BBB"/>
    <w:rsid w:val="009571E2"/>
    <w:rsid w:val="00957FA7"/>
    <w:rsid w:val="00962E66"/>
    <w:rsid w:val="00964D79"/>
    <w:rsid w:val="00972203"/>
    <w:rsid w:val="00972611"/>
    <w:rsid w:val="0097323E"/>
    <w:rsid w:val="009810D8"/>
    <w:rsid w:val="00981505"/>
    <w:rsid w:val="00982D03"/>
    <w:rsid w:val="009837DF"/>
    <w:rsid w:val="00983D4C"/>
    <w:rsid w:val="00985B75"/>
    <w:rsid w:val="009869B4"/>
    <w:rsid w:val="00986FEA"/>
    <w:rsid w:val="00991056"/>
    <w:rsid w:val="00993410"/>
    <w:rsid w:val="00993B25"/>
    <w:rsid w:val="009941E3"/>
    <w:rsid w:val="0099466E"/>
    <w:rsid w:val="00994ACA"/>
    <w:rsid w:val="009961C5"/>
    <w:rsid w:val="009976A3"/>
    <w:rsid w:val="009A006F"/>
    <w:rsid w:val="009A0818"/>
    <w:rsid w:val="009A0D9D"/>
    <w:rsid w:val="009A128B"/>
    <w:rsid w:val="009A156A"/>
    <w:rsid w:val="009A17AC"/>
    <w:rsid w:val="009A3317"/>
    <w:rsid w:val="009A3C1B"/>
    <w:rsid w:val="009A552A"/>
    <w:rsid w:val="009A5730"/>
    <w:rsid w:val="009A5C00"/>
    <w:rsid w:val="009A5DF2"/>
    <w:rsid w:val="009A704C"/>
    <w:rsid w:val="009A75FB"/>
    <w:rsid w:val="009B0DF6"/>
    <w:rsid w:val="009B10D1"/>
    <w:rsid w:val="009B1A2A"/>
    <w:rsid w:val="009B2676"/>
    <w:rsid w:val="009B5FBF"/>
    <w:rsid w:val="009C0741"/>
    <w:rsid w:val="009C0AB3"/>
    <w:rsid w:val="009C31D0"/>
    <w:rsid w:val="009C380E"/>
    <w:rsid w:val="009C5B60"/>
    <w:rsid w:val="009C67B1"/>
    <w:rsid w:val="009D0C45"/>
    <w:rsid w:val="009D33F7"/>
    <w:rsid w:val="009D35D9"/>
    <w:rsid w:val="009D4D46"/>
    <w:rsid w:val="009D6568"/>
    <w:rsid w:val="009E11F7"/>
    <w:rsid w:val="009E2459"/>
    <w:rsid w:val="009E4699"/>
    <w:rsid w:val="009E55EB"/>
    <w:rsid w:val="009E5B52"/>
    <w:rsid w:val="009E658D"/>
    <w:rsid w:val="009E7A81"/>
    <w:rsid w:val="009E7B47"/>
    <w:rsid w:val="009F1087"/>
    <w:rsid w:val="009F120A"/>
    <w:rsid w:val="009F146C"/>
    <w:rsid w:val="009F2578"/>
    <w:rsid w:val="009F3701"/>
    <w:rsid w:val="009F4AAD"/>
    <w:rsid w:val="009F52E5"/>
    <w:rsid w:val="009F614B"/>
    <w:rsid w:val="009F665D"/>
    <w:rsid w:val="00A01818"/>
    <w:rsid w:val="00A02956"/>
    <w:rsid w:val="00A02A87"/>
    <w:rsid w:val="00A033E7"/>
    <w:rsid w:val="00A03E5D"/>
    <w:rsid w:val="00A03FA8"/>
    <w:rsid w:val="00A043EF"/>
    <w:rsid w:val="00A04692"/>
    <w:rsid w:val="00A0500B"/>
    <w:rsid w:val="00A05654"/>
    <w:rsid w:val="00A072B3"/>
    <w:rsid w:val="00A10B39"/>
    <w:rsid w:val="00A12DEE"/>
    <w:rsid w:val="00A16632"/>
    <w:rsid w:val="00A20237"/>
    <w:rsid w:val="00A20764"/>
    <w:rsid w:val="00A21127"/>
    <w:rsid w:val="00A21280"/>
    <w:rsid w:val="00A2225C"/>
    <w:rsid w:val="00A22940"/>
    <w:rsid w:val="00A2453F"/>
    <w:rsid w:val="00A248D9"/>
    <w:rsid w:val="00A25AF0"/>
    <w:rsid w:val="00A2689F"/>
    <w:rsid w:val="00A26B91"/>
    <w:rsid w:val="00A33969"/>
    <w:rsid w:val="00A356C9"/>
    <w:rsid w:val="00A365F6"/>
    <w:rsid w:val="00A40714"/>
    <w:rsid w:val="00A40887"/>
    <w:rsid w:val="00A4221C"/>
    <w:rsid w:val="00A42284"/>
    <w:rsid w:val="00A423D4"/>
    <w:rsid w:val="00A4379E"/>
    <w:rsid w:val="00A463BF"/>
    <w:rsid w:val="00A47E6A"/>
    <w:rsid w:val="00A5129A"/>
    <w:rsid w:val="00A52217"/>
    <w:rsid w:val="00A529AF"/>
    <w:rsid w:val="00A5383C"/>
    <w:rsid w:val="00A55C48"/>
    <w:rsid w:val="00A56CFB"/>
    <w:rsid w:val="00A60D5F"/>
    <w:rsid w:val="00A6157A"/>
    <w:rsid w:val="00A62CEB"/>
    <w:rsid w:val="00A63A5F"/>
    <w:rsid w:val="00A640A5"/>
    <w:rsid w:val="00A6416E"/>
    <w:rsid w:val="00A64508"/>
    <w:rsid w:val="00A645F4"/>
    <w:rsid w:val="00A65012"/>
    <w:rsid w:val="00A6567F"/>
    <w:rsid w:val="00A66F99"/>
    <w:rsid w:val="00A67DC8"/>
    <w:rsid w:val="00A70078"/>
    <w:rsid w:val="00A74233"/>
    <w:rsid w:val="00A77131"/>
    <w:rsid w:val="00A8020B"/>
    <w:rsid w:val="00A803B7"/>
    <w:rsid w:val="00A80604"/>
    <w:rsid w:val="00A80B7A"/>
    <w:rsid w:val="00A839A9"/>
    <w:rsid w:val="00A846EF"/>
    <w:rsid w:val="00A87A2D"/>
    <w:rsid w:val="00A9010D"/>
    <w:rsid w:val="00A90D23"/>
    <w:rsid w:val="00A92738"/>
    <w:rsid w:val="00A944C0"/>
    <w:rsid w:val="00A959B8"/>
    <w:rsid w:val="00A96079"/>
    <w:rsid w:val="00A96083"/>
    <w:rsid w:val="00A97D3F"/>
    <w:rsid w:val="00AA00F9"/>
    <w:rsid w:val="00AA16B6"/>
    <w:rsid w:val="00AA23DB"/>
    <w:rsid w:val="00AA28D6"/>
    <w:rsid w:val="00AA2C81"/>
    <w:rsid w:val="00AA2E8A"/>
    <w:rsid w:val="00AA30CD"/>
    <w:rsid w:val="00AA4334"/>
    <w:rsid w:val="00AA551E"/>
    <w:rsid w:val="00AA55BA"/>
    <w:rsid w:val="00AA640A"/>
    <w:rsid w:val="00AA66CB"/>
    <w:rsid w:val="00AA676D"/>
    <w:rsid w:val="00AA6824"/>
    <w:rsid w:val="00AA707A"/>
    <w:rsid w:val="00AA7C0E"/>
    <w:rsid w:val="00AB24AA"/>
    <w:rsid w:val="00AB42B7"/>
    <w:rsid w:val="00AB5AD1"/>
    <w:rsid w:val="00AC2287"/>
    <w:rsid w:val="00AC41CA"/>
    <w:rsid w:val="00AC4D3C"/>
    <w:rsid w:val="00AC5436"/>
    <w:rsid w:val="00AC7A02"/>
    <w:rsid w:val="00AD15C6"/>
    <w:rsid w:val="00AD2C2E"/>
    <w:rsid w:val="00AD2FAA"/>
    <w:rsid w:val="00AD3351"/>
    <w:rsid w:val="00AD50AF"/>
    <w:rsid w:val="00AD7CAA"/>
    <w:rsid w:val="00AE197E"/>
    <w:rsid w:val="00AE1AFE"/>
    <w:rsid w:val="00AE1FAC"/>
    <w:rsid w:val="00AE2EF1"/>
    <w:rsid w:val="00AE380C"/>
    <w:rsid w:val="00AE6DFF"/>
    <w:rsid w:val="00AF057D"/>
    <w:rsid w:val="00AF0A37"/>
    <w:rsid w:val="00AF1E71"/>
    <w:rsid w:val="00AF268E"/>
    <w:rsid w:val="00AF2CA2"/>
    <w:rsid w:val="00AF42A4"/>
    <w:rsid w:val="00AF5226"/>
    <w:rsid w:val="00AF71DA"/>
    <w:rsid w:val="00B0042F"/>
    <w:rsid w:val="00B004C2"/>
    <w:rsid w:val="00B02446"/>
    <w:rsid w:val="00B0386E"/>
    <w:rsid w:val="00B03D1F"/>
    <w:rsid w:val="00B03E32"/>
    <w:rsid w:val="00B07462"/>
    <w:rsid w:val="00B1235F"/>
    <w:rsid w:val="00B12E44"/>
    <w:rsid w:val="00B13E82"/>
    <w:rsid w:val="00B15BA1"/>
    <w:rsid w:val="00B15F8A"/>
    <w:rsid w:val="00B1674B"/>
    <w:rsid w:val="00B16C94"/>
    <w:rsid w:val="00B17342"/>
    <w:rsid w:val="00B176F7"/>
    <w:rsid w:val="00B25557"/>
    <w:rsid w:val="00B25C55"/>
    <w:rsid w:val="00B27638"/>
    <w:rsid w:val="00B2777F"/>
    <w:rsid w:val="00B3040C"/>
    <w:rsid w:val="00B305BC"/>
    <w:rsid w:val="00B30E96"/>
    <w:rsid w:val="00B31FE5"/>
    <w:rsid w:val="00B34593"/>
    <w:rsid w:val="00B34B5F"/>
    <w:rsid w:val="00B35111"/>
    <w:rsid w:val="00B3553B"/>
    <w:rsid w:val="00B364AF"/>
    <w:rsid w:val="00B3674B"/>
    <w:rsid w:val="00B36B34"/>
    <w:rsid w:val="00B37873"/>
    <w:rsid w:val="00B37B4E"/>
    <w:rsid w:val="00B410E6"/>
    <w:rsid w:val="00B4165D"/>
    <w:rsid w:val="00B42E61"/>
    <w:rsid w:val="00B43A8A"/>
    <w:rsid w:val="00B45EBB"/>
    <w:rsid w:val="00B46A09"/>
    <w:rsid w:val="00B46AC9"/>
    <w:rsid w:val="00B5388E"/>
    <w:rsid w:val="00B53A31"/>
    <w:rsid w:val="00B546AA"/>
    <w:rsid w:val="00B55511"/>
    <w:rsid w:val="00B55A3A"/>
    <w:rsid w:val="00B575E5"/>
    <w:rsid w:val="00B57FF3"/>
    <w:rsid w:val="00B60B87"/>
    <w:rsid w:val="00B61732"/>
    <w:rsid w:val="00B617A2"/>
    <w:rsid w:val="00B62170"/>
    <w:rsid w:val="00B63689"/>
    <w:rsid w:val="00B63C6F"/>
    <w:rsid w:val="00B6447F"/>
    <w:rsid w:val="00B65B82"/>
    <w:rsid w:val="00B7000E"/>
    <w:rsid w:val="00B724A0"/>
    <w:rsid w:val="00B76827"/>
    <w:rsid w:val="00B76ABD"/>
    <w:rsid w:val="00B8214E"/>
    <w:rsid w:val="00B8776D"/>
    <w:rsid w:val="00B87AEA"/>
    <w:rsid w:val="00B93700"/>
    <w:rsid w:val="00B95229"/>
    <w:rsid w:val="00B95AA4"/>
    <w:rsid w:val="00B95AC4"/>
    <w:rsid w:val="00B96BF3"/>
    <w:rsid w:val="00B979F5"/>
    <w:rsid w:val="00BA056C"/>
    <w:rsid w:val="00BA186A"/>
    <w:rsid w:val="00BA2759"/>
    <w:rsid w:val="00BA287A"/>
    <w:rsid w:val="00BA5281"/>
    <w:rsid w:val="00BA5876"/>
    <w:rsid w:val="00BA6473"/>
    <w:rsid w:val="00BB2DC2"/>
    <w:rsid w:val="00BB35EC"/>
    <w:rsid w:val="00BB3742"/>
    <w:rsid w:val="00BB3B96"/>
    <w:rsid w:val="00BB4BD5"/>
    <w:rsid w:val="00BC02C1"/>
    <w:rsid w:val="00BC0406"/>
    <w:rsid w:val="00BC06C8"/>
    <w:rsid w:val="00BC1077"/>
    <w:rsid w:val="00BC1D7A"/>
    <w:rsid w:val="00BC51EA"/>
    <w:rsid w:val="00BC562E"/>
    <w:rsid w:val="00BD0713"/>
    <w:rsid w:val="00BD376B"/>
    <w:rsid w:val="00BD3AAE"/>
    <w:rsid w:val="00BD3B16"/>
    <w:rsid w:val="00BD3BF4"/>
    <w:rsid w:val="00BD538E"/>
    <w:rsid w:val="00BD54A0"/>
    <w:rsid w:val="00BD597D"/>
    <w:rsid w:val="00BD5CE8"/>
    <w:rsid w:val="00BD61B5"/>
    <w:rsid w:val="00BD65E2"/>
    <w:rsid w:val="00BD6BFB"/>
    <w:rsid w:val="00BE2A2B"/>
    <w:rsid w:val="00BE2E0A"/>
    <w:rsid w:val="00BE370A"/>
    <w:rsid w:val="00BE4C28"/>
    <w:rsid w:val="00BE64F8"/>
    <w:rsid w:val="00BE690F"/>
    <w:rsid w:val="00BF08C6"/>
    <w:rsid w:val="00BF1D81"/>
    <w:rsid w:val="00BF2C96"/>
    <w:rsid w:val="00BF39F8"/>
    <w:rsid w:val="00BF4910"/>
    <w:rsid w:val="00BF4FD0"/>
    <w:rsid w:val="00BF540E"/>
    <w:rsid w:val="00C010F4"/>
    <w:rsid w:val="00C01738"/>
    <w:rsid w:val="00C02181"/>
    <w:rsid w:val="00C03EA2"/>
    <w:rsid w:val="00C042B4"/>
    <w:rsid w:val="00C06A0E"/>
    <w:rsid w:val="00C10294"/>
    <w:rsid w:val="00C10D5F"/>
    <w:rsid w:val="00C1110A"/>
    <w:rsid w:val="00C113E3"/>
    <w:rsid w:val="00C13403"/>
    <w:rsid w:val="00C1376A"/>
    <w:rsid w:val="00C13E9D"/>
    <w:rsid w:val="00C14112"/>
    <w:rsid w:val="00C14963"/>
    <w:rsid w:val="00C16AB3"/>
    <w:rsid w:val="00C16CA8"/>
    <w:rsid w:val="00C170B6"/>
    <w:rsid w:val="00C17990"/>
    <w:rsid w:val="00C20688"/>
    <w:rsid w:val="00C207BF"/>
    <w:rsid w:val="00C20D5D"/>
    <w:rsid w:val="00C21210"/>
    <w:rsid w:val="00C232BF"/>
    <w:rsid w:val="00C23D03"/>
    <w:rsid w:val="00C26035"/>
    <w:rsid w:val="00C260BA"/>
    <w:rsid w:val="00C27BD2"/>
    <w:rsid w:val="00C30B79"/>
    <w:rsid w:val="00C30D84"/>
    <w:rsid w:val="00C30F0A"/>
    <w:rsid w:val="00C31297"/>
    <w:rsid w:val="00C32C86"/>
    <w:rsid w:val="00C33554"/>
    <w:rsid w:val="00C339AC"/>
    <w:rsid w:val="00C341F8"/>
    <w:rsid w:val="00C42079"/>
    <w:rsid w:val="00C423F8"/>
    <w:rsid w:val="00C42B1B"/>
    <w:rsid w:val="00C42E66"/>
    <w:rsid w:val="00C44A6D"/>
    <w:rsid w:val="00C46011"/>
    <w:rsid w:val="00C47070"/>
    <w:rsid w:val="00C476BA"/>
    <w:rsid w:val="00C479BC"/>
    <w:rsid w:val="00C50055"/>
    <w:rsid w:val="00C50B46"/>
    <w:rsid w:val="00C5594F"/>
    <w:rsid w:val="00C55AB9"/>
    <w:rsid w:val="00C62C8B"/>
    <w:rsid w:val="00C645DB"/>
    <w:rsid w:val="00C666B0"/>
    <w:rsid w:val="00C67434"/>
    <w:rsid w:val="00C710AF"/>
    <w:rsid w:val="00C72266"/>
    <w:rsid w:val="00C735CC"/>
    <w:rsid w:val="00C746ED"/>
    <w:rsid w:val="00C761E2"/>
    <w:rsid w:val="00C76B58"/>
    <w:rsid w:val="00C77577"/>
    <w:rsid w:val="00C777D3"/>
    <w:rsid w:val="00C80745"/>
    <w:rsid w:val="00C80C08"/>
    <w:rsid w:val="00C80C68"/>
    <w:rsid w:val="00C83814"/>
    <w:rsid w:val="00C83A17"/>
    <w:rsid w:val="00C853C8"/>
    <w:rsid w:val="00C85E14"/>
    <w:rsid w:val="00C86402"/>
    <w:rsid w:val="00C8643B"/>
    <w:rsid w:val="00C86597"/>
    <w:rsid w:val="00C86EC9"/>
    <w:rsid w:val="00C90923"/>
    <w:rsid w:val="00C91CED"/>
    <w:rsid w:val="00C91D21"/>
    <w:rsid w:val="00C91F8F"/>
    <w:rsid w:val="00C92EE1"/>
    <w:rsid w:val="00C932FB"/>
    <w:rsid w:val="00C96327"/>
    <w:rsid w:val="00CA0041"/>
    <w:rsid w:val="00CA360A"/>
    <w:rsid w:val="00CA3C2E"/>
    <w:rsid w:val="00CA57D8"/>
    <w:rsid w:val="00CA5A4F"/>
    <w:rsid w:val="00CA5B05"/>
    <w:rsid w:val="00CA7FE3"/>
    <w:rsid w:val="00CB006E"/>
    <w:rsid w:val="00CB0408"/>
    <w:rsid w:val="00CB33D3"/>
    <w:rsid w:val="00CB3FD9"/>
    <w:rsid w:val="00CB4694"/>
    <w:rsid w:val="00CB5C30"/>
    <w:rsid w:val="00CB65E0"/>
    <w:rsid w:val="00CB6E34"/>
    <w:rsid w:val="00CB6FF3"/>
    <w:rsid w:val="00CC0822"/>
    <w:rsid w:val="00CC0BE6"/>
    <w:rsid w:val="00CC1BE5"/>
    <w:rsid w:val="00CC29D8"/>
    <w:rsid w:val="00CC2D46"/>
    <w:rsid w:val="00CC40A1"/>
    <w:rsid w:val="00CC4F14"/>
    <w:rsid w:val="00CC53EC"/>
    <w:rsid w:val="00CC6837"/>
    <w:rsid w:val="00CC6981"/>
    <w:rsid w:val="00CC6B97"/>
    <w:rsid w:val="00CC7742"/>
    <w:rsid w:val="00CD2216"/>
    <w:rsid w:val="00CD2975"/>
    <w:rsid w:val="00CD41E0"/>
    <w:rsid w:val="00CD6349"/>
    <w:rsid w:val="00CD7A45"/>
    <w:rsid w:val="00CE0E68"/>
    <w:rsid w:val="00CE1C58"/>
    <w:rsid w:val="00CE2D18"/>
    <w:rsid w:val="00CE30B3"/>
    <w:rsid w:val="00CE3E54"/>
    <w:rsid w:val="00CE6F8D"/>
    <w:rsid w:val="00CF0415"/>
    <w:rsid w:val="00CF1AF0"/>
    <w:rsid w:val="00CF24DE"/>
    <w:rsid w:val="00CF322C"/>
    <w:rsid w:val="00CF4F74"/>
    <w:rsid w:val="00CF5791"/>
    <w:rsid w:val="00D000DB"/>
    <w:rsid w:val="00D02E5B"/>
    <w:rsid w:val="00D03FC3"/>
    <w:rsid w:val="00D04F4D"/>
    <w:rsid w:val="00D05980"/>
    <w:rsid w:val="00D10414"/>
    <w:rsid w:val="00D11210"/>
    <w:rsid w:val="00D11439"/>
    <w:rsid w:val="00D12793"/>
    <w:rsid w:val="00D133EB"/>
    <w:rsid w:val="00D15169"/>
    <w:rsid w:val="00D17299"/>
    <w:rsid w:val="00D17E23"/>
    <w:rsid w:val="00D20AA9"/>
    <w:rsid w:val="00D218B1"/>
    <w:rsid w:val="00D220C0"/>
    <w:rsid w:val="00D22B6C"/>
    <w:rsid w:val="00D22C22"/>
    <w:rsid w:val="00D25376"/>
    <w:rsid w:val="00D27038"/>
    <w:rsid w:val="00D30B37"/>
    <w:rsid w:val="00D3262A"/>
    <w:rsid w:val="00D33F5A"/>
    <w:rsid w:val="00D34658"/>
    <w:rsid w:val="00D35C32"/>
    <w:rsid w:val="00D36382"/>
    <w:rsid w:val="00D365AD"/>
    <w:rsid w:val="00D3784F"/>
    <w:rsid w:val="00D37B91"/>
    <w:rsid w:val="00D424C9"/>
    <w:rsid w:val="00D4279D"/>
    <w:rsid w:val="00D46696"/>
    <w:rsid w:val="00D5045F"/>
    <w:rsid w:val="00D5064F"/>
    <w:rsid w:val="00D50B0A"/>
    <w:rsid w:val="00D50EFE"/>
    <w:rsid w:val="00D51BE9"/>
    <w:rsid w:val="00D536A2"/>
    <w:rsid w:val="00D546A2"/>
    <w:rsid w:val="00D60001"/>
    <w:rsid w:val="00D60776"/>
    <w:rsid w:val="00D60A0E"/>
    <w:rsid w:val="00D61684"/>
    <w:rsid w:val="00D62846"/>
    <w:rsid w:val="00D62F81"/>
    <w:rsid w:val="00D6402E"/>
    <w:rsid w:val="00D6474A"/>
    <w:rsid w:val="00D64B46"/>
    <w:rsid w:val="00D66D1F"/>
    <w:rsid w:val="00D67195"/>
    <w:rsid w:val="00D67364"/>
    <w:rsid w:val="00D70025"/>
    <w:rsid w:val="00D71383"/>
    <w:rsid w:val="00D72B68"/>
    <w:rsid w:val="00D7659B"/>
    <w:rsid w:val="00D800E4"/>
    <w:rsid w:val="00D81B08"/>
    <w:rsid w:val="00D827DC"/>
    <w:rsid w:val="00D82E4C"/>
    <w:rsid w:val="00D83732"/>
    <w:rsid w:val="00D83DEA"/>
    <w:rsid w:val="00D84DBF"/>
    <w:rsid w:val="00D84E5E"/>
    <w:rsid w:val="00D86103"/>
    <w:rsid w:val="00D87E27"/>
    <w:rsid w:val="00D900BF"/>
    <w:rsid w:val="00D908BF"/>
    <w:rsid w:val="00D90C5A"/>
    <w:rsid w:val="00D9525E"/>
    <w:rsid w:val="00D9586F"/>
    <w:rsid w:val="00D95D84"/>
    <w:rsid w:val="00D96D75"/>
    <w:rsid w:val="00D978EE"/>
    <w:rsid w:val="00D97EA4"/>
    <w:rsid w:val="00DA0100"/>
    <w:rsid w:val="00DA11B0"/>
    <w:rsid w:val="00DA1406"/>
    <w:rsid w:val="00DA21A3"/>
    <w:rsid w:val="00DA2705"/>
    <w:rsid w:val="00DA29E7"/>
    <w:rsid w:val="00DA334F"/>
    <w:rsid w:val="00DA4795"/>
    <w:rsid w:val="00DA58B5"/>
    <w:rsid w:val="00DA6440"/>
    <w:rsid w:val="00DB02D0"/>
    <w:rsid w:val="00DB0919"/>
    <w:rsid w:val="00DB0A35"/>
    <w:rsid w:val="00DB11EC"/>
    <w:rsid w:val="00DB39A8"/>
    <w:rsid w:val="00DB3C8D"/>
    <w:rsid w:val="00DB4578"/>
    <w:rsid w:val="00DB6D7A"/>
    <w:rsid w:val="00DC1254"/>
    <w:rsid w:val="00DC1354"/>
    <w:rsid w:val="00DC2447"/>
    <w:rsid w:val="00DC35CA"/>
    <w:rsid w:val="00DC3DFA"/>
    <w:rsid w:val="00DC53BE"/>
    <w:rsid w:val="00DC5792"/>
    <w:rsid w:val="00DC7518"/>
    <w:rsid w:val="00DD1104"/>
    <w:rsid w:val="00DD2CED"/>
    <w:rsid w:val="00DD4404"/>
    <w:rsid w:val="00DD5B00"/>
    <w:rsid w:val="00DD6268"/>
    <w:rsid w:val="00DE2270"/>
    <w:rsid w:val="00DE4304"/>
    <w:rsid w:val="00DE48A5"/>
    <w:rsid w:val="00DE4E57"/>
    <w:rsid w:val="00DE5C0D"/>
    <w:rsid w:val="00DE64F7"/>
    <w:rsid w:val="00DF1D1A"/>
    <w:rsid w:val="00DF4434"/>
    <w:rsid w:val="00DF6954"/>
    <w:rsid w:val="00E0274D"/>
    <w:rsid w:val="00E02972"/>
    <w:rsid w:val="00E0665E"/>
    <w:rsid w:val="00E11092"/>
    <w:rsid w:val="00E11159"/>
    <w:rsid w:val="00E11D13"/>
    <w:rsid w:val="00E12222"/>
    <w:rsid w:val="00E1226C"/>
    <w:rsid w:val="00E1323B"/>
    <w:rsid w:val="00E14C71"/>
    <w:rsid w:val="00E14D8B"/>
    <w:rsid w:val="00E15E5E"/>
    <w:rsid w:val="00E15ED9"/>
    <w:rsid w:val="00E176BF"/>
    <w:rsid w:val="00E17DC7"/>
    <w:rsid w:val="00E208C8"/>
    <w:rsid w:val="00E20F0C"/>
    <w:rsid w:val="00E229C7"/>
    <w:rsid w:val="00E234BB"/>
    <w:rsid w:val="00E235FC"/>
    <w:rsid w:val="00E246FD"/>
    <w:rsid w:val="00E24AC3"/>
    <w:rsid w:val="00E24DC4"/>
    <w:rsid w:val="00E24ED6"/>
    <w:rsid w:val="00E25981"/>
    <w:rsid w:val="00E25AA2"/>
    <w:rsid w:val="00E26388"/>
    <w:rsid w:val="00E26432"/>
    <w:rsid w:val="00E27573"/>
    <w:rsid w:val="00E30D20"/>
    <w:rsid w:val="00E30DBC"/>
    <w:rsid w:val="00E31ACD"/>
    <w:rsid w:val="00E32319"/>
    <w:rsid w:val="00E32900"/>
    <w:rsid w:val="00E32E19"/>
    <w:rsid w:val="00E3300D"/>
    <w:rsid w:val="00E33A2F"/>
    <w:rsid w:val="00E34A51"/>
    <w:rsid w:val="00E34A92"/>
    <w:rsid w:val="00E356D7"/>
    <w:rsid w:val="00E36262"/>
    <w:rsid w:val="00E36A4B"/>
    <w:rsid w:val="00E37C79"/>
    <w:rsid w:val="00E40533"/>
    <w:rsid w:val="00E4103A"/>
    <w:rsid w:val="00E41550"/>
    <w:rsid w:val="00E41A70"/>
    <w:rsid w:val="00E41D9A"/>
    <w:rsid w:val="00E43C63"/>
    <w:rsid w:val="00E44628"/>
    <w:rsid w:val="00E4477C"/>
    <w:rsid w:val="00E466C3"/>
    <w:rsid w:val="00E500A6"/>
    <w:rsid w:val="00E501D0"/>
    <w:rsid w:val="00E52004"/>
    <w:rsid w:val="00E521CF"/>
    <w:rsid w:val="00E5288A"/>
    <w:rsid w:val="00E57D8C"/>
    <w:rsid w:val="00E600EC"/>
    <w:rsid w:val="00E619A8"/>
    <w:rsid w:val="00E61FC4"/>
    <w:rsid w:val="00E6421E"/>
    <w:rsid w:val="00E6566D"/>
    <w:rsid w:val="00E660EE"/>
    <w:rsid w:val="00E706A4"/>
    <w:rsid w:val="00E750D5"/>
    <w:rsid w:val="00E7732B"/>
    <w:rsid w:val="00E80446"/>
    <w:rsid w:val="00E81169"/>
    <w:rsid w:val="00E81237"/>
    <w:rsid w:val="00E825EF"/>
    <w:rsid w:val="00E8272C"/>
    <w:rsid w:val="00E82F2A"/>
    <w:rsid w:val="00E838D4"/>
    <w:rsid w:val="00E854C5"/>
    <w:rsid w:val="00E859AC"/>
    <w:rsid w:val="00E86B6A"/>
    <w:rsid w:val="00E87769"/>
    <w:rsid w:val="00E87D20"/>
    <w:rsid w:val="00E90554"/>
    <w:rsid w:val="00E92036"/>
    <w:rsid w:val="00E927E6"/>
    <w:rsid w:val="00E94662"/>
    <w:rsid w:val="00E97422"/>
    <w:rsid w:val="00E9762A"/>
    <w:rsid w:val="00EA1817"/>
    <w:rsid w:val="00EA409D"/>
    <w:rsid w:val="00EA4B25"/>
    <w:rsid w:val="00EA5D93"/>
    <w:rsid w:val="00EA6423"/>
    <w:rsid w:val="00EA7CD3"/>
    <w:rsid w:val="00EB164C"/>
    <w:rsid w:val="00EB3245"/>
    <w:rsid w:val="00EB46B2"/>
    <w:rsid w:val="00EB4B85"/>
    <w:rsid w:val="00EB4F0D"/>
    <w:rsid w:val="00EB6557"/>
    <w:rsid w:val="00EB6A3B"/>
    <w:rsid w:val="00EB7D64"/>
    <w:rsid w:val="00EC0E98"/>
    <w:rsid w:val="00EC19FE"/>
    <w:rsid w:val="00EC3BDB"/>
    <w:rsid w:val="00EC416C"/>
    <w:rsid w:val="00EC505D"/>
    <w:rsid w:val="00EC5C1D"/>
    <w:rsid w:val="00ED07BA"/>
    <w:rsid w:val="00ED08B6"/>
    <w:rsid w:val="00ED1450"/>
    <w:rsid w:val="00ED4D5C"/>
    <w:rsid w:val="00ED6F38"/>
    <w:rsid w:val="00ED7CC5"/>
    <w:rsid w:val="00EE0CEC"/>
    <w:rsid w:val="00EE1743"/>
    <w:rsid w:val="00EE1CD8"/>
    <w:rsid w:val="00EE25F3"/>
    <w:rsid w:val="00EE2F9A"/>
    <w:rsid w:val="00EE4605"/>
    <w:rsid w:val="00EE4E86"/>
    <w:rsid w:val="00EE5EEF"/>
    <w:rsid w:val="00EE6AAE"/>
    <w:rsid w:val="00EE702B"/>
    <w:rsid w:val="00EE7B01"/>
    <w:rsid w:val="00EF16CE"/>
    <w:rsid w:val="00EF1B7E"/>
    <w:rsid w:val="00EF1CC2"/>
    <w:rsid w:val="00EF1FCF"/>
    <w:rsid w:val="00EF278F"/>
    <w:rsid w:val="00EF291B"/>
    <w:rsid w:val="00EF3FB8"/>
    <w:rsid w:val="00EF53AC"/>
    <w:rsid w:val="00EF5778"/>
    <w:rsid w:val="00EF5B87"/>
    <w:rsid w:val="00EF5F1B"/>
    <w:rsid w:val="00EF6E08"/>
    <w:rsid w:val="00F03771"/>
    <w:rsid w:val="00F063EA"/>
    <w:rsid w:val="00F07595"/>
    <w:rsid w:val="00F110C9"/>
    <w:rsid w:val="00F116A0"/>
    <w:rsid w:val="00F12154"/>
    <w:rsid w:val="00F133CC"/>
    <w:rsid w:val="00F13710"/>
    <w:rsid w:val="00F149D5"/>
    <w:rsid w:val="00F1599B"/>
    <w:rsid w:val="00F16308"/>
    <w:rsid w:val="00F16D87"/>
    <w:rsid w:val="00F178EF"/>
    <w:rsid w:val="00F22DDF"/>
    <w:rsid w:val="00F2458B"/>
    <w:rsid w:val="00F25077"/>
    <w:rsid w:val="00F25346"/>
    <w:rsid w:val="00F25D44"/>
    <w:rsid w:val="00F26648"/>
    <w:rsid w:val="00F26909"/>
    <w:rsid w:val="00F311B3"/>
    <w:rsid w:val="00F31B84"/>
    <w:rsid w:val="00F33B6C"/>
    <w:rsid w:val="00F352B0"/>
    <w:rsid w:val="00F36775"/>
    <w:rsid w:val="00F40744"/>
    <w:rsid w:val="00F41723"/>
    <w:rsid w:val="00F41B90"/>
    <w:rsid w:val="00F421D0"/>
    <w:rsid w:val="00F4244E"/>
    <w:rsid w:val="00F43E3B"/>
    <w:rsid w:val="00F44BE4"/>
    <w:rsid w:val="00F4526B"/>
    <w:rsid w:val="00F45559"/>
    <w:rsid w:val="00F45D08"/>
    <w:rsid w:val="00F461A1"/>
    <w:rsid w:val="00F47646"/>
    <w:rsid w:val="00F50D8B"/>
    <w:rsid w:val="00F511A7"/>
    <w:rsid w:val="00F51368"/>
    <w:rsid w:val="00F5201D"/>
    <w:rsid w:val="00F52A82"/>
    <w:rsid w:val="00F54379"/>
    <w:rsid w:val="00F550B8"/>
    <w:rsid w:val="00F56876"/>
    <w:rsid w:val="00F56CA3"/>
    <w:rsid w:val="00F57866"/>
    <w:rsid w:val="00F57D50"/>
    <w:rsid w:val="00F6070A"/>
    <w:rsid w:val="00F64498"/>
    <w:rsid w:val="00F64DD2"/>
    <w:rsid w:val="00F64FB0"/>
    <w:rsid w:val="00F653CE"/>
    <w:rsid w:val="00F65564"/>
    <w:rsid w:val="00F67FE9"/>
    <w:rsid w:val="00F7011A"/>
    <w:rsid w:val="00F709CB"/>
    <w:rsid w:val="00F70A90"/>
    <w:rsid w:val="00F755C3"/>
    <w:rsid w:val="00F75FCB"/>
    <w:rsid w:val="00F773CD"/>
    <w:rsid w:val="00F80F0D"/>
    <w:rsid w:val="00F82197"/>
    <w:rsid w:val="00F84231"/>
    <w:rsid w:val="00F858BA"/>
    <w:rsid w:val="00F86A41"/>
    <w:rsid w:val="00F86A5E"/>
    <w:rsid w:val="00F86A80"/>
    <w:rsid w:val="00F90A54"/>
    <w:rsid w:val="00F90F50"/>
    <w:rsid w:val="00F91EE5"/>
    <w:rsid w:val="00F92447"/>
    <w:rsid w:val="00F97159"/>
    <w:rsid w:val="00F97AB0"/>
    <w:rsid w:val="00FA1054"/>
    <w:rsid w:val="00FA2DFF"/>
    <w:rsid w:val="00FA3780"/>
    <w:rsid w:val="00FA424B"/>
    <w:rsid w:val="00FA556D"/>
    <w:rsid w:val="00FA7225"/>
    <w:rsid w:val="00FA7ED2"/>
    <w:rsid w:val="00FB0FFD"/>
    <w:rsid w:val="00FB142A"/>
    <w:rsid w:val="00FB292F"/>
    <w:rsid w:val="00FB3B25"/>
    <w:rsid w:val="00FB4C06"/>
    <w:rsid w:val="00FB4F9B"/>
    <w:rsid w:val="00FB6161"/>
    <w:rsid w:val="00FB739D"/>
    <w:rsid w:val="00FB7B8F"/>
    <w:rsid w:val="00FC034D"/>
    <w:rsid w:val="00FC0FE8"/>
    <w:rsid w:val="00FC24D3"/>
    <w:rsid w:val="00FC4087"/>
    <w:rsid w:val="00FC4660"/>
    <w:rsid w:val="00FC53F6"/>
    <w:rsid w:val="00FC6C8F"/>
    <w:rsid w:val="00FC705B"/>
    <w:rsid w:val="00FD05EC"/>
    <w:rsid w:val="00FD0D7D"/>
    <w:rsid w:val="00FD1E98"/>
    <w:rsid w:val="00FD2770"/>
    <w:rsid w:val="00FD32A5"/>
    <w:rsid w:val="00FD3D14"/>
    <w:rsid w:val="00FD4886"/>
    <w:rsid w:val="00FD49B0"/>
    <w:rsid w:val="00FD5064"/>
    <w:rsid w:val="00FD590C"/>
    <w:rsid w:val="00FD5CBD"/>
    <w:rsid w:val="00FE008A"/>
    <w:rsid w:val="00FE106F"/>
    <w:rsid w:val="00FE18D3"/>
    <w:rsid w:val="00FE2F5C"/>
    <w:rsid w:val="00FE30F5"/>
    <w:rsid w:val="00FE4D1F"/>
    <w:rsid w:val="00FE5162"/>
    <w:rsid w:val="00FE5BCE"/>
    <w:rsid w:val="00FE6ADD"/>
    <w:rsid w:val="00FE769D"/>
    <w:rsid w:val="00FE7762"/>
    <w:rsid w:val="00FE7F99"/>
    <w:rsid w:val="00FF0873"/>
    <w:rsid w:val="00FF1899"/>
    <w:rsid w:val="00FF202E"/>
    <w:rsid w:val="00FF285D"/>
    <w:rsid w:val="00FF3039"/>
    <w:rsid w:val="00FF3622"/>
    <w:rsid w:val="00FF3D73"/>
    <w:rsid w:val="00FF3F5E"/>
    <w:rsid w:val="00FF5F9C"/>
    <w:rsid w:val="00FF6D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95F91"/>
  <w15:docId w15:val="{B3F8ABA5-D185-4E4E-9355-5968F0448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0" w:defUnhideWhenUsed="0" w:defQFormat="0" w:count="376">
    <w:lsdException w:name="Normal" w:uiPriority="90" w:qFormat="1"/>
    <w:lsdException w:name="heading 1" w:uiPriority="90" w:qFormat="1"/>
    <w:lsdException w:name="heading 2" w:uiPriority="90" w:qFormat="1"/>
    <w:lsdException w:name="heading 3" w:uiPriority="90" w:qFormat="1"/>
    <w:lsdException w:name="heading 4" w:uiPriority="90" w:qFormat="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unhideWhenUsed="1"/>
    <w:lsdException w:name="footer" w:uiPriority="99" w:unhideWhenUsed="1"/>
    <w:lsdException w:name="index heading" w:semiHidden="1" w:unhideWhenUsed="1"/>
    <w:lsdException w:name="caption"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4" w:semiHidden="1"/>
    <w:lsdException w:name="List 5" w:semiHidden="1"/>
    <w:lsdException w:name="List Bullet 2" w:unhideWhenUsed="1"/>
    <w:lsdException w:name="List Bullet 3" w:unhideWhenUsed="1"/>
    <w:lsdException w:name="List Bullet 4" w:unhideWhenUsed="1"/>
    <w:lsdException w:name="List Bullet 5" w:semiHidden="1" w:unhideWhenUsed="1"/>
    <w:lsdException w:name="List Number 2" w:unhideWhenUsed="1"/>
    <w:lsdException w:name="List Number 3" w:unhideWhenUsed="1"/>
    <w:lsdException w:name="List Number 4" w:unhideWhenUsed="1"/>
    <w:lsdException w:name="List Number 5" w:semiHidden="1" w:unhideWhenUsed="1"/>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2"/>
      </w:numPr>
      <w:spacing w:before="240"/>
      <w:outlineLvl w:val="0"/>
    </w:pPr>
    <w:rPr>
      <w:b/>
      <w:smallCaps/>
    </w:rPr>
  </w:style>
  <w:style w:type="paragraph" w:styleId="Heading2">
    <w:name w:val="heading 2"/>
    <w:basedOn w:val="Normal"/>
    <w:next w:val="Text2"/>
    <w:uiPriority w:val="90"/>
    <w:qFormat/>
    <w:pPr>
      <w:keepNext/>
      <w:numPr>
        <w:ilvl w:val="1"/>
        <w:numId w:val="2"/>
      </w:numPr>
      <w:outlineLvl w:val="1"/>
    </w:pPr>
    <w:rPr>
      <w:b/>
    </w:rPr>
  </w:style>
  <w:style w:type="paragraph" w:styleId="Heading3">
    <w:name w:val="heading 3"/>
    <w:basedOn w:val="Normal"/>
    <w:next w:val="Text3"/>
    <w:uiPriority w:val="90"/>
    <w:qFormat/>
    <w:pPr>
      <w:keepNext/>
      <w:numPr>
        <w:ilvl w:val="2"/>
        <w:numId w:val="2"/>
      </w:numPr>
      <w:outlineLvl w:val="2"/>
    </w:pPr>
    <w:rPr>
      <w:i/>
    </w:rPr>
  </w:style>
  <w:style w:type="paragraph" w:styleId="Heading4">
    <w:name w:val="heading 4"/>
    <w:basedOn w:val="Normal"/>
    <w:next w:val="Text4"/>
    <w:uiPriority w:val="90"/>
    <w:qFormat/>
    <w:pPr>
      <w:keepNext/>
      <w:numPr>
        <w:ilvl w:val="3"/>
        <w:numId w:val="2"/>
      </w:numPr>
      <w:outlineLvl w:val="3"/>
    </w:pPr>
  </w:style>
  <w:style w:type="paragraph" w:styleId="Heading5">
    <w:name w:val="heading 5"/>
    <w:basedOn w:val="Normal"/>
    <w:next w:val="Normal"/>
    <w:semiHidden/>
    <w:pPr>
      <w:keepNext/>
      <w:numPr>
        <w:ilvl w:val="4"/>
        <w:numId w:val="2"/>
      </w:numPr>
      <w:outlineLvl w:val="4"/>
    </w:pPr>
  </w:style>
  <w:style w:type="paragraph" w:styleId="Heading6">
    <w:name w:val="heading 6"/>
    <w:basedOn w:val="Normal"/>
    <w:next w:val="Normal"/>
    <w:semiHidden/>
    <w:pPr>
      <w:keepNext/>
      <w:numPr>
        <w:ilvl w:val="5"/>
        <w:numId w:val="2"/>
      </w:numPr>
      <w:outlineLvl w:val="5"/>
    </w:pPr>
  </w:style>
  <w:style w:type="paragraph" w:styleId="Heading7">
    <w:name w:val="heading 7"/>
    <w:basedOn w:val="Normal"/>
    <w:next w:val="Normal"/>
    <w:semiHidden/>
    <w:pPr>
      <w:keepNext/>
      <w:numPr>
        <w:ilvl w:val="6"/>
        <w:numId w:val="2"/>
      </w:numPr>
      <w:outlineLvl w:val="6"/>
    </w:pPr>
  </w:style>
  <w:style w:type="paragraph" w:styleId="Heading8">
    <w:name w:val="heading 8"/>
    <w:basedOn w:val="Normal"/>
    <w:next w:val="Normal"/>
    <w:semiHidden/>
    <w:pPr>
      <w:keepNext/>
      <w:numPr>
        <w:ilvl w:val="7"/>
        <w:numId w:val="2"/>
      </w:numPr>
      <w:outlineLvl w:val="7"/>
    </w:pPr>
  </w:style>
  <w:style w:type="paragraph" w:styleId="Heading9">
    <w:name w:val="heading 9"/>
    <w:basedOn w:val="Normal"/>
    <w:next w:val="Normal"/>
    <w:semiHidden/>
    <w:pPr>
      <w:keepNext/>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C8F6C"/>
    </w:rPr>
  </w:style>
  <w:style w:type="paragraph" w:customStyle="1" w:styleId="LegalNumPar3">
    <w:name w:val="LegalNumPar3"/>
    <w:basedOn w:val="Normal"/>
    <w:pPr>
      <w:numPr>
        <w:ilvl w:val="2"/>
        <w:numId w:val="1"/>
      </w:numPr>
      <w:spacing w:line="360" w:lineRule="auto"/>
      <w:jc w:val="left"/>
    </w:pPr>
  </w:style>
  <w:style w:type="paragraph" w:customStyle="1" w:styleId="LegalNumPar2">
    <w:name w:val="LegalNumPar2"/>
    <w:basedOn w:val="Normal"/>
    <w:pPr>
      <w:numPr>
        <w:ilvl w:val="1"/>
        <w:numId w:val="1"/>
      </w:numPr>
      <w:spacing w:line="360" w:lineRule="auto"/>
      <w:jc w:val="left"/>
    </w:pPr>
  </w:style>
  <w:style w:type="paragraph" w:customStyle="1" w:styleId="LegalNumPar">
    <w:name w:val="LegalNumPar"/>
    <w:basedOn w:val="Normal"/>
    <w:uiPriority w:val="90"/>
    <w:qFormat/>
    <w:pPr>
      <w:numPr>
        <w:numId w:val="1"/>
      </w:numPr>
      <w:spacing w:line="360" w:lineRule="auto"/>
      <w:jc w:val="left"/>
    </w:pPr>
  </w:style>
  <w:style w:type="paragraph" w:customStyle="1" w:styleId="Marking">
    <w:name w:val="Marking"/>
    <w:basedOn w:val="Normal"/>
    <w:pPr>
      <w:spacing w:line="276" w:lineRule="auto"/>
      <w:contextualSpacing/>
      <w:jc w:val="right"/>
    </w:pPr>
    <w:rPr>
      <w:sz w:val="28"/>
    </w:rPr>
  </w:style>
  <w:style w:type="paragraph" w:customStyle="1" w:styleId="ListNumber4Level4">
    <w:name w:val="List Number 4 (Level 4)"/>
    <w:basedOn w:val="Text4"/>
    <w:unhideWhenUsed/>
    <w:pPr>
      <w:numPr>
        <w:ilvl w:val="3"/>
        <w:numId w:val="10"/>
      </w:numPr>
    </w:pPr>
  </w:style>
  <w:style w:type="paragraph" w:customStyle="1" w:styleId="ListNumber4Level3">
    <w:name w:val="List Number 4 (Level 3)"/>
    <w:basedOn w:val="Text4"/>
    <w:unhideWhenUsed/>
    <w:pPr>
      <w:numPr>
        <w:ilvl w:val="2"/>
        <w:numId w:val="10"/>
      </w:numPr>
    </w:pPr>
  </w:style>
  <w:style w:type="paragraph" w:customStyle="1" w:styleId="ListNumber4Level2">
    <w:name w:val="List Number 4 (Level 2)"/>
    <w:basedOn w:val="Text4"/>
    <w:pPr>
      <w:numPr>
        <w:ilvl w:val="1"/>
        <w:numId w:val="10"/>
      </w:numPr>
    </w:pPr>
  </w:style>
  <w:style w:type="paragraph" w:styleId="ListNumber4">
    <w:name w:val="List Number 4"/>
    <w:basedOn w:val="Text4"/>
    <w:pPr>
      <w:numPr>
        <w:numId w:val="10"/>
      </w:numPr>
    </w:pPr>
  </w:style>
  <w:style w:type="paragraph" w:customStyle="1" w:styleId="ListNumber3Level4">
    <w:name w:val="List Number 3 (Level 4)"/>
    <w:basedOn w:val="Text3"/>
    <w:semiHidden/>
    <w:unhideWhenUsed/>
    <w:pPr>
      <w:numPr>
        <w:ilvl w:val="3"/>
        <w:numId w:val="9"/>
      </w:numPr>
    </w:pPr>
  </w:style>
  <w:style w:type="paragraph" w:customStyle="1" w:styleId="ListNumber3Level3">
    <w:name w:val="List Number 3 (Level 3)"/>
    <w:basedOn w:val="Text3"/>
    <w:semiHidden/>
    <w:unhideWhenUsed/>
    <w:pPr>
      <w:numPr>
        <w:ilvl w:val="2"/>
        <w:numId w:val="9"/>
      </w:numPr>
    </w:pPr>
  </w:style>
  <w:style w:type="paragraph" w:customStyle="1" w:styleId="ListNumber3Level2">
    <w:name w:val="List Number 3 (Level 2)"/>
    <w:basedOn w:val="Text3"/>
    <w:pPr>
      <w:numPr>
        <w:ilvl w:val="1"/>
        <w:numId w:val="9"/>
      </w:numPr>
    </w:pPr>
  </w:style>
  <w:style w:type="paragraph" w:styleId="ListNumber3">
    <w:name w:val="List Number 3"/>
    <w:basedOn w:val="Text3"/>
    <w:pPr>
      <w:numPr>
        <w:numId w:val="9"/>
      </w:numPr>
    </w:pPr>
  </w:style>
  <w:style w:type="paragraph" w:customStyle="1" w:styleId="ListNumber2Level4">
    <w:name w:val="List Number 2 (Level 4)"/>
    <w:basedOn w:val="Text2"/>
    <w:unhideWhenUsed/>
    <w:pPr>
      <w:numPr>
        <w:ilvl w:val="3"/>
        <w:numId w:val="8"/>
      </w:numPr>
    </w:pPr>
  </w:style>
  <w:style w:type="paragraph" w:customStyle="1" w:styleId="ListNumber2Level3">
    <w:name w:val="List Number 2 (Level 3)"/>
    <w:basedOn w:val="Text2"/>
    <w:unhideWhenUsed/>
    <w:pPr>
      <w:numPr>
        <w:ilvl w:val="2"/>
        <w:numId w:val="8"/>
      </w:numPr>
    </w:pPr>
  </w:style>
  <w:style w:type="paragraph" w:customStyle="1" w:styleId="ListNumber2Level2">
    <w:name w:val="List Number 2 (Level 2)"/>
    <w:basedOn w:val="Text2"/>
    <w:pPr>
      <w:numPr>
        <w:ilvl w:val="1"/>
        <w:numId w:val="8"/>
      </w:numPr>
    </w:pPr>
  </w:style>
  <w:style w:type="paragraph" w:styleId="ListNumber2">
    <w:name w:val="List Number 2"/>
    <w:basedOn w:val="Text2"/>
    <w:pPr>
      <w:numPr>
        <w:numId w:val="8"/>
      </w:numPr>
    </w:pPr>
  </w:style>
  <w:style w:type="paragraph" w:customStyle="1" w:styleId="ListNumber1Level4">
    <w:name w:val="List Number 1 (Level 4)"/>
    <w:basedOn w:val="Text1"/>
    <w:unhideWhenUsed/>
    <w:pPr>
      <w:numPr>
        <w:ilvl w:val="3"/>
        <w:numId w:val="7"/>
      </w:numPr>
    </w:pPr>
  </w:style>
  <w:style w:type="paragraph" w:customStyle="1" w:styleId="ListNumber1Level3">
    <w:name w:val="List Number 1 (Level 3)"/>
    <w:basedOn w:val="Text1"/>
    <w:unhideWhenUsed/>
    <w:pPr>
      <w:numPr>
        <w:ilvl w:val="2"/>
        <w:numId w:val="7"/>
      </w:numPr>
    </w:pPr>
  </w:style>
  <w:style w:type="paragraph" w:customStyle="1" w:styleId="ListNumber1Level2">
    <w:name w:val="List Number 1 (Level 2)"/>
    <w:basedOn w:val="Text1"/>
    <w:pPr>
      <w:numPr>
        <w:ilvl w:val="1"/>
        <w:numId w:val="7"/>
      </w:numPr>
    </w:pPr>
  </w:style>
  <w:style w:type="paragraph" w:customStyle="1" w:styleId="ListNumber1">
    <w:name w:val="List Number 1"/>
    <w:basedOn w:val="Text1"/>
    <w:pPr>
      <w:numPr>
        <w:numId w:val="7"/>
      </w:numPr>
    </w:pPr>
  </w:style>
  <w:style w:type="paragraph" w:customStyle="1" w:styleId="ListNumberLevel4">
    <w:name w:val="List Number (Level 4)"/>
    <w:basedOn w:val="Normal"/>
    <w:unhideWhenUsed/>
  </w:style>
  <w:style w:type="paragraph" w:customStyle="1" w:styleId="ListNumberLevel3">
    <w:name w:val="List Number (Level 3)"/>
    <w:basedOn w:val="Normal"/>
    <w:unhideWhenUsed/>
  </w:style>
  <w:style w:type="paragraph" w:customStyle="1" w:styleId="ListNumberLevel2">
    <w:name w:val="List Number (Level 2)"/>
    <w:basedOn w:val="Normal"/>
  </w:style>
  <w:style w:type="paragraph" w:styleId="ListNumber">
    <w:name w:val="List Number"/>
    <w:basedOn w:val="Normal"/>
  </w:style>
  <w:style w:type="paragraph" w:customStyle="1" w:styleId="ListDash4Level4">
    <w:name w:val="List Dash 4 (Level 4)"/>
    <w:basedOn w:val="Text4"/>
    <w:semiHidden/>
    <w:unhideWhenUsed/>
    <w:pPr>
      <w:numPr>
        <w:ilvl w:val="3"/>
        <w:numId w:val="15"/>
      </w:numPr>
    </w:pPr>
  </w:style>
  <w:style w:type="paragraph" w:customStyle="1" w:styleId="ListDash4Level3">
    <w:name w:val="List Dash 4 (Level 3)"/>
    <w:basedOn w:val="Text4"/>
    <w:semiHidden/>
    <w:unhideWhenUsed/>
    <w:pPr>
      <w:numPr>
        <w:ilvl w:val="2"/>
        <w:numId w:val="15"/>
      </w:numPr>
    </w:pPr>
  </w:style>
  <w:style w:type="paragraph" w:customStyle="1" w:styleId="ListDash4Level2">
    <w:name w:val="List Dash 4 (Level 2)"/>
    <w:basedOn w:val="Text4"/>
    <w:pPr>
      <w:numPr>
        <w:ilvl w:val="1"/>
        <w:numId w:val="15"/>
      </w:numPr>
    </w:pPr>
  </w:style>
  <w:style w:type="paragraph" w:customStyle="1" w:styleId="ListDash4">
    <w:name w:val="List Dash 4"/>
    <w:basedOn w:val="Text4"/>
    <w:pPr>
      <w:numPr>
        <w:numId w:val="15"/>
      </w:numPr>
    </w:pPr>
  </w:style>
  <w:style w:type="paragraph" w:customStyle="1" w:styleId="ListDash3Level4">
    <w:name w:val="List Dash 3 (Level 4)"/>
    <w:basedOn w:val="Text3"/>
    <w:semiHidden/>
    <w:unhideWhenUsed/>
    <w:pPr>
      <w:numPr>
        <w:ilvl w:val="3"/>
        <w:numId w:val="14"/>
      </w:numPr>
    </w:pPr>
  </w:style>
  <w:style w:type="paragraph" w:customStyle="1" w:styleId="ListDash3Level3">
    <w:name w:val="List Dash 3 (Level 3)"/>
    <w:basedOn w:val="Text3"/>
    <w:semiHidden/>
    <w:unhideWhenUsed/>
    <w:pPr>
      <w:numPr>
        <w:ilvl w:val="2"/>
        <w:numId w:val="14"/>
      </w:numPr>
    </w:pPr>
  </w:style>
  <w:style w:type="paragraph" w:customStyle="1" w:styleId="ListDash3Level2">
    <w:name w:val="List Dash 3 (Level 2)"/>
    <w:basedOn w:val="Text3"/>
    <w:pPr>
      <w:numPr>
        <w:ilvl w:val="1"/>
        <w:numId w:val="14"/>
      </w:numPr>
    </w:pPr>
  </w:style>
  <w:style w:type="paragraph" w:customStyle="1" w:styleId="ListDash3">
    <w:name w:val="List Dash 3"/>
    <w:basedOn w:val="Text3"/>
    <w:pPr>
      <w:numPr>
        <w:numId w:val="14"/>
      </w:numPr>
    </w:pPr>
  </w:style>
  <w:style w:type="paragraph" w:customStyle="1" w:styleId="ListDash2Level4">
    <w:name w:val="List Dash 2 (Level 4)"/>
    <w:basedOn w:val="Text2"/>
    <w:semiHidden/>
    <w:unhideWhenUsed/>
    <w:pPr>
      <w:numPr>
        <w:ilvl w:val="3"/>
        <w:numId w:val="13"/>
      </w:numPr>
    </w:pPr>
  </w:style>
  <w:style w:type="paragraph" w:customStyle="1" w:styleId="ListDash2Level3">
    <w:name w:val="List Dash 2 (Level 3)"/>
    <w:basedOn w:val="Text2"/>
    <w:semiHidden/>
    <w:unhideWhenUsed/>
    <w:pPr>
      <w:numPr>
        <w:ilvl w:val="2"/>
        <w:numId w:val="13"/>
      </w:numPr>
    </w:pPr>
  </w:style>
  <w:style w:type="paragraph" w:customStyle="1" w:styleId="ListDash2Level2">
    <w:name w:val="List Dash 2 (Level 2)"/>
    <w:basedOn w:val="Text2"/>
    <w:pPr>
      <w:numPr>
        <w:ilvl w:val="1"/>
        <w:numId w:val="13"/>
      </w:numPr>
    </w:pPr>
  </w:style>
  <w:style w:type="paragraph" w:customStyle="1" w:styleId="ListDash2">
    <w:name w:val="List Dash 2"/>
    <w:basedOn w:val="Text2"/>
    <w:pPr>
      <w:numPr>
        <w:numId w:val="13"/>
      </w:numPr>
    </w:pPr>
  </w:style>
  <w:style w:type="paragraph" w:customStyle="1" w:styleId="ListDash1Level4">
    <w:name w:val="List Dash 1 (Level 4)"/>
    <w:basedOn w:val="Text1"/>
    <w:semiHidden/>
    <w:unhideWhenUsed/>
    <w:pPr>
      <w:numPr>
        <w:ilvl w:val="3"/>
        <w:numId w:val="12"/>
      </w:numPr>
    </w:pPr>
  </w:style>
  <w:style w:type="paragraph" w:customStyle="1" w:styleId="ListDash1Level3">
    <w:name w:val="List Dash 1 (Level 3)"/>
    <w:basedOn w:val="Text1"/>
    <w:semiHidden/>
    <w:unhideWhenUsed/>
    <w:pPr>
      <w:numPr>
        <w:ilvl w:val="2"/>
        <w:numId w:val="12"/>
      </w:numPr>
    </w:pPr>
  </w:style>
  <w:style w:type="paragraph" w:customStyle="1" w:styleId="ListDash1Level2">
    <w:name w:val="List Dash 1 (Level 2)"/>
    <w:basedOn w:val="Text1"/>
    <w:pPr>
      <w:numPr>
        <w:ilvl w:val="1"/>
        <w:numId w:val="12"/>
      </w:numPr>
    </w:pPr>
  </w:style>
  <w:style w:type="paragraph" w:customStyle="1" w:styleId="ListDash1">
    <w:name w:val="List Dash 1"/>
    <w:basedOn w:val="Text1"/>
    <w:pPr>
      <w:numPr>
        <w:numId w:val="12"/>
      </w:numPr>
    </w:pPr>
  </w:style>
  <w:style w:type="paragraph" w:customStyle="1" w:styleId="ListDashLevel4">
    <w:name w:val="List Dash (Level 4)"/>
    <w:basedOn w:val="Normal"/>
    <w:semiHidden/>
    <w:unhideWhenUsed/>
    <w:pPr>
      <w:numPr>
        <w:ilvl w:val="3"/>
        <w:numId w:val="11"/>
      </w:numPr>
    </w:pPr>
  </w:style>
  <w:style w:type="paragraph" w:customStyle="1" w:styleId="ListDashLevel3">
    <w:name w:val="List Dash (Level 3)"/>
    <w:basedOn w:val="Normal"/>
    <w:semiHidden/>
    <w:unhideWhenUsed/>
    <w:pPr>
      <w:numPr>
        <w:ilvl w:val="2"/>
        <w:numId w:val="11"/>
      </w:numPr>
    </w:pPr>
  </w:style>
  <w:style w:type="paragraph" w:customStyle="1" w:styleId="ListDashLevel2">
    <w:name w:val="List Dash (Level 2)"/>
    <w:basedOn w:val="Normal"/>
    <w:pPr>
      <w:numPr>
        <w:ilvl w:val="1"/>
        <w:numId w:val="11"/>
      </w:numPr>
    </w:pPr>
  </w:style>
  <w:style w:type="paragraph" w:customStyle="1" w:styleId="ListDash">
    <w:name w:val="List Dash"/>
    <w:basedOn w:val="Normal"/>
    <w:pPr>
      <w:numPr>
        <w:numId w:val="11"/>
      </w:numPr>
    </w:pPr>
  </w:style>
  <w:style w:type="paragraph" w:customStyle="1" w:styleId="ListBullet4Level4">
    <w:name w:val="List Bullet 4 (Level 4)"/>
    <w:basedOn w:val="Text4"/>
    <w:semiHidden/>
    <w:unhideWhenUsed/>
    <w:pPr>
      <w:numPr>
        <w:ilvl w:val="3"/>
        <w:numId w:val="6"/>
      </w:numPr>
    </w:pPr>
  </w:style>
  <w:style w:type="paragraph" w:customStyle="1" w:styleId="ListBullet4Level3">
    <w:name w:val="List Bullet 4 (Level 3)"/>
    <w:basedOn w:val="Text4"/>
    <w:semiHidden/>
    <w:unhideWhenUsed/>
    <w:pPr>
      <w:numPr>
        <w:ilvl w:val="2"/>
        <w:numId w:val="6"/>
      </w:numPr>
    </w:pPr>
  </w:style>
  <w:style w:type="paragraph" w:customStyle="1" w:styleId="ListBullet4Level2">
    <w:name w:val="List Bullet 4 (Level 2)"/>
    <w:basedOn w:val="Text4"/>
    <w:pPr>
      <w:numPr>
        <w:ilvl w:val="1"/>
        <w:numId w:val="6"/>
      </w:numPr>
    </w:pPr>
  </w:style>
  <w:style w:type="paragraph" w:styleId="ListBullet4">
    <w:name w:val="List Bullet 4"/>
    <w:basedOn w:val="Text4"/>
    <w:pPr>
      <w:numPr>
        <w:numId w:val="6"/>
      </w:numPr>
    </w:pPr>
  </w:style>
  <w:style w:type="paragraph" w:customStyle="1" w:styleId="ListBullet3Level4">
    <w:name w:val="List Bullet 3 (Level 4)"/>
    <w:basedOn w:val="Text3"/>
    <w:semiHidden/>
    <w:unhideWhenUsed/>
    <w:pPr>
      <w:numPr>
        <w:ilvl w:val="3"/>
        <w:numId w:val="5"/>
      </w:numPr>
    </w:pPr>
  </w:style>
  <w:style w:type="paragraph" w:customStyle="1" w:styleId="ListBullet3Level3">
    <w:name w:val="List Bullet 3 (Level 3)"/>
    <w:basedOn w:val="Text3"/>
    <w:semiHidden/>
    <w:unhideWhenUsed/>
    <w:pPr>
      <w:numPr>
        <w:ilvl w:val="2"/>
        <w:numId w:val="5"/>
      </w:numPr>
    </w:pPr>
  </w:style>
  <w:style w:type="paragraph" w:customStyle="1" w:styleId="ListBullet3Level2">
    <w:name w:val="List Bullet 3 (Level 2)"/>
    <w:basedOn w:val="Text3"/>
    <w:pPr>
      <w:numPr>
        <w:ilvl w:val="1"/>
        <w:numId w:val="5"/>
      </w:numPr>
    </w:pPr>
  </w:style>
  <w:style w:type="paragraph" w:styleId="ListBullet3">
    <w:name w:val="List Bullet 3"/>
    <w:basedOn w:val="Text3"/>
    <w:pPr>
      <w:numPr>
        <w:numId w:val="5"/>
      </w:numPr>
    </w:pPr>
  </w:style>
  <w:style w:type="paragraph" w:customStyle="1" w:styleId="ListBullet2Level4">
    <w:name w:val="List Bullet 2 (Level 4)"/>
    <w:basedOn w:val="Text2"/>
    <w:semiHidden/>
    <w:unhideWhenUsed/>
    <w:pPr>
      <w:numPr>
        <w:ilvl w:val="3"/>
        <w:numId w:val="4"/>
      </w:numPr>
    </w:pPr>
  </w:style>
  <w:style w:type="paragraph" w:customStyle="1" w:styleId="ListBullet2Level3">
    <w:name w:val="List Bullet 2 (Level 3)"/>
    <w:basedOn w:val="Text2"/>
    <w:unhideWhenUsed/>
    <w:pPr>
      <w:numPr>
        <w:ilvl w:val="2"/>
        <w:numId w:val="4"/>
      </w:numPr>
    </w:pPr>
  </w:style>
  <w:style w:type="paragraph" w:customStyle="1" w:styleId="ListBullet2Level2">
    <w:name w:val="List Bullet 2 (Level 2)"/>
    <w:basedOn w:val="Text2"/>
    <w:pPr>
      <w:numPr>
        <w:ilvl w:val="1"/>
        <w:numId w:val="4"/>
      </w:numPr>
    </w:pPr>
  </w:style>
  <w:style w:type="paragraph" w:styleId="ListBullet2">
    <w:name w:val="List Bullet 2"/>
    <w:basedOn w:val="Text2"/>
    <w:pPr>
      <w:numPr>
        <w:numId w:val="4"/>
      </w:numPr>
    </w:pPr>
  </w:style>
  <w:style w:type="paragraph" w:customStyle="1" w:styleId="ListBullet1Level4">
    <w:name w:val="List Bullet 1 (Level 4)"/>
    <w:basedOn w:val="Text1"/>
    <w:semiHidden/>
    <w:unhideWhenUsed/>
    <w:pPr>
      <w:ind w:left="0"/>
    </w:pPr>
  </w:style>
  <w:style w:type="paragraph" w:customStyle="1" w:styleId="ListBullet1Level3">
    <w:name w:val="List Bullet 1 (Level 3)"/>
    <w:basedOn w:val="Text1"/>
    <w:semiHidden/>
    <w:unhideWhenUsed/>
    <w:pPr>
      <w:ind w:left="0"/>
    </w:pPr>
  </w:style>
  <w:style w:type="paragraph" w:customStyle="1" w:styleId="ListBullet1Level2">
    <w:name w:val="List Bullet 1 (Level 2)"/>
    <w:basedOn w:val="Text1"/>
    <w:pPr>
      <w:ind w:left="0"/>
    </w:pPr>
  </w:style>
  <w:style w:type="paragraph" w:customStyle="1" w:styleId="ListBullet1">
    <w:name w:val="List Bullet 1"/>
    <w:basedOn w:val="Text1"/>
    <w:pPr>
      <w:ind w:left="0"/>
    </w:pPr>
  </w:style>
  <w:style w:type="paragraph" w:customStyle="1" w:styleId="ListBulletLevel4">
    <w:name w:val="List Bullet (Level 4)"/>
    <w:basedOn w:val="Text1"/>
    <w:semiHidden/>
    <w:unhideWhenUsed/>
    <w:pPr>
      <w:numPr>
        <w:ilvl w:val="3"/>
        <w:numId w:val="3"/>
      </w:numPr>
    </w:pPr>
  </w:style>
  <w:style w:type="paragraph" w:customStyle="1" w:styleId="ListBulletLevel3">
    <w:name w:val="List Bullet (Level 3)"/>
    <w:basedOn w:val="Text1"/>
    <w:semiHidden/>
    <w:unhideWhenUsed/>
    <w:pPr>
      <w:numPr>
        <w:ilvl w:val="2"/>
        <w:numId w:val="3"/>
      </w:numPr>
    </w:pPr>
  </w:style>
  <w:style w:type="paragraph" w:customStyle="1" w:styleId="ListBulletLevel2">
    <w:name w:val="List Bullet (Level 2)"/>
    <w:basedOn w:val="Text1"/>
    <w:pPr>
      <w:numPr>
        <w:ilvl w:val="1"/>
        <w:numId w:val="3"/>
      </w:numPr>
    </w:pPr>
  </w:style>
  <w:style w:type="paragraph" w:styleId="ListBullet">
    <w:name w:val="List Bullet"/>
    <w:basedOn w:val="Normal"/>
    <w:pPr>
      <w:numPr>
        <w:numId w:val="3"/>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s>
    </w:pPr>
  </w:style>
  <w:style w:type="paragraph" w:styleId="TOC5">
    <w:name w:val="toc 5"/>
    <w:basedOn w:val="Normal"/>
    <w:next w:val="Normal"/>
    <w:semiHidden/>
    <w:pPr>
      <w:tabs>
        <w:tab w:val="right" w:leader="dot" w:pos="8640"/>
      </w:tabs>
      <w:spacing w:before="120" w:after="60"/>
      <w:ind w:right="720"/>
    </w:pPr>
    <w:rPr>
      <w:b/>
    </w:rPr>
  </w:style>
  <w:style w:type="paragraph" w:styleId="TOC4">
    <w:name w:val="toc 4"/>
    <w:basedOn w:val="Normal"/>
    <w:next w:val="Normal"/>
    <w:uiPriority w:val="99"/>
    <w:semiHidden/>
    <w:pPr>
      <w:tabs>
        <w:tab w:val="left" w:pos="1446"/>
        <w:tab w:val="left" w:pos="1587"/>
        <w:tab w:val="right" w:leader="dot" w:pos="8640"/>
      </w:tabs>
      <w:spacing w:after="60"/>
      <w:ind w:left="1445" w:right="720" w:hanging="850"/>
    </w:pPr>
    <w:rPr>
      <w:noProof/>
      <w:sz w:val="20"/>
    </w:rPr>
  </w:style>
  <w:style w:type="paragraph" w:styleId="TOC3">
    <w:name w:val="toc 3"/>
    <w:basedOn w:val="Normal"/>
    <w:next w:val="Normal"/>
    <w:uiPriority w:val="99"/>
    <w:semiHidden/>
    <w:pPr>
      <w:tabs>
        <w:tab w:val="left" w:pos="595"/>
        <w:tab w:val="right" w:leader="dot" w:pos="8640"/>
      </w:tabs>
      <w:spacing w:after="60"/>
      <w:ind w:left="1190" w:right="720" w:hanging="595"/>
    </w:pPr>
    <w:rPr>
      <w:sz w:val="20"/>
    </w:rPr>
  </w:style>
  <w:style w:type="paragraph" w:styleId="TOC2">
    <w:name w:val="toc 2"/>
    <w:basedOn w:val="Normal"/>
    <w:next w:val="Normal"/>
    <w:uiPriority w:val="39"/>
    <w:semiHidden/>
    <w:pPr>
      <w:tabs>
        <w:tab w:val="left" w:pos="595"/>
        <w:tab w:val="right" w:leader="dot" w:pos="8640"/>
      </w:tabs>
      <w:spacing w:after="60"/>
      <w:ind w:left="595" w:right="720" w:hanging="595"/>
    </w:pPr>
    <w:rPr>
      <w:noProof/>
      <w:sz w:val="20"/>
    </w:rPr>
  </w:style>
  <w:style w:type="paragraph" w:styleId="TOC1">
    <w:name w:val="toc 1"/>
    <w:basedOn w:val="Normal"/>
    <w:next w:val="Normal"/>
    <w:uiPriority w:val="39"/>
    <w:semiHidden/>
    <w:pPr>
      <w:tabs>
        <w:tab w:val="left" w:pos="595"/>
        <w:tab w:val="right" w:leader="dot" w:pos="8640"/>
      </w:tabs>
      <w:spacing w:after="60"/>
      <w:ind w:left="595" w:right="720" w:hanging="595"/>
    </w:pPr>
    <w:rPr>
      <w:b/>
      <w:caps/>
      <w:sz w:val="20"/>
    </w:rPr>
  </w:style>
  <w:style w:type="paragraph" w:styleId="TOCHeading">
    <w:name w:val="TOC Heading"/>
    <w:basedOn w:val="Normal"/>
    <w:next w:val="Normal"/>
    <w:semiHidden/>
    <w:pPr>
      <w:spacing w:after="120"/>
      <w:jc w:val="center"/>
    </w:pPr>
    <w:rPr>
      <w:rFonts w:ascii="Times New Roman Bold" w:hAnsi="Times New Roman Bold"/>
      <w:b/>
      <w:sz w:val="32"/>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link w:val="FootnoteTextChar"/>
    <w:uiPriority w:val="99"/>
    <w:qFormat/>
    <w:pPr>
      <w:spacing w:after="120"/>
      <w:ind w:left="357" w:hanging="357"/>
    </w:pPr>
    <w:rPr>
      <w:sz w:val="20"/>
    </w:r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rPr>
      <w:sz w:val="2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next w:val="Normal"/>
    <w:pPr>
      <w:ind w:left="5102"/>
      <w:jc w:val="left"/>
    </w:pPr>
    <w:rPr>
      <w:sz w:val="20"/>
    </w:rPr>
  </w:style>
  <w:style w:type="paragraph" w:styleId="Date">
    <w:name w:val="Date"/>
    <w:basedOn w:val="Normal"/>
    <w:next w:val="References"/>
    <w:pPr>
      <w:spacing w:after="0"/>
      <w:ind w:left="5102" w:right="-567"/>
      <w:jc w:val="left"/>
    </w:pPr>
  </w:style>
  <w:style w:type="paragraph" w:customStyle="1" w:styleId="Contact">
    <w:name w:val="Contact"/>
    <w:basedOn w:val="Normal"/>
    <w:uiPriority w:val="99"/>
    <w:pPr>
      <w:spacing w:before="480" w:after="0"/>
      <w:ind w:left="567" w:hanging="567"/>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uiPriority w:val="90"/>
    <w:qFormat/>
    <w:pPr>
      <w:ind w:left="482"/>
    </w:pPr>
  </w:style>
  <w:style w:type="paragraph" w:customStyle="1" w:styleId="Text2">
    <w:name w:val="Text 2"/>
    <w:basedOn w:val="Normal"/>
    <w:uiPriority w:val="90"/>
    <w:qFormat/>
    <w:pPr>
      <w:ind w:left="1202"/>
    </w:pPr>
  </w:style>
  <w:style w:type="paragraph" w:customStyle="1" w:styleId="Text3">
    <w:name w:val="Text 3"/>
    <w:basedOn w:val="Normal"/>
    <w:uiPriority w:val="90"/>
    <w:qFormat/>
    <w:pPr>
      <w:ind w:left="1202"/>
    </w:pPr>
  </w:style>
  <w:style w:type="paragraph" w:customStyle="1" w:styleId="Text4">
    <w:name w:val="Text 4"/>
    <w:basedOn w:val="Normal"/>
    <w:uiPriority w:val="90"/>
    <w:qFormat/>
    <w:pPr>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2"/>
      <w:jc w:val="left"/>
    </w:pPr>
  </w:style>
  <w:style w:type="paragraph" w:customStyle="1" w:styleId="PartTitle">
    <w:name w:val="PartTitle"/>
    <w:basedOn w:val="Normal"/>
    <w:next w:val="ChapterTitle"/>
    <w:uiPriority w:val="90"/>
    <w:qFormat/>
    <w:pPr>
      <w:keepNext/>
      <w:pageBreakBefore/>
      <w:spacing w:after="480"/>
      <w:jc w:val="center"/>
    </w:pPr>
    <w:rPr>
      <w:b/>
      <w:sz w:val="36"/>
    </w:rPr>
  </w:style>
  <w:style w:type="paragraph" w:customStyle="1" w:styleId="ChapterTitle">
    <w:name w:val="ChapterTitle"/>
    <w:basedOn w:val="Normal"/>
    <w:next w:val="SectionTitle"/>
    <w:uiPriority w:val="90"/>
    <w:qFormat/>
    <w:pPr>
      <w:keepNext/>
      <w:spacing w:after="480"/>
      <w:jc w:val="center"/>
    </w:pPr>
    <w:rPr>
      <w:b/>
      <w:sz w:val="32"/>
    </w:rPr>
  </w:style>
  <w:style w:type="paragraph" w:customStyle="1" w:styleId="SectionTitle">
    <w:name w:val="SectionTitle"/>
    <w:basedOn w:val="Normal"/>
    <w:next w:val="Heading1"/>
    <w:uiPriority w:val="90"/>
    <w:qFormat/>
    <w:pPr>
      <w:keepNext/>
      <w:spacing w:after="480"/>
      <w:jc w:val="center"/>
    </w:pPr>
    <w:rPr>
      <w:b/>
      <w:smallCaps/>
      <w:sz w:val="28"/>
    </w:rPr>
  </w:style>
  <w:style w:type="paragraph" w:styleId="Signature">
    <w:name w:val="Signature"/>
    <w:basedOn w:val="Normal"/>
    <w:next w:val="Enclosures"/>
    <w:pPr>
      <w:tabs>
        <w:tab w:val="left" w:pos="5102"/>
      </w:tabs>
      <w:spacing w:before="1200" w:after="0"/>
      <w:ind w:left="5102"/>
      <w:jc w:val="center"/>
    </w:pPr>
  </w:style>
  <w:style w:type="paragraph" w:customStyle="1" w:styleId="SignatureL">
    <w:name w:val="SignatureL"/>
    <w:basedOn w:val="Normal"/>
    <w:next w:val="Enclosures"/>
    <w:pPr>
      <w:tabs>
        <w:tab w:val="left" w:pos="5102"/>
      </w:tabs>
      <w:spacing w:before="1200" w:after="0"/>
      <w:jc w:val="left"/>
    </w:pPr>
  </w:style>
  <w:style w:type="paragraph" w:customStyle="1" w:styleId="DoubSign">
    <w:name w:val="DoubSign"/>
    <w:basedOn w:val="Normal"/>
    <w:next w:val="Enclosures"/>
    <w:pPr>
      <w:tabs>
        <w:tab w:val="left" w:pos="5102"/>
      </w:tabs>
      <w:spacing w:before="1200" w:after="0"/>
      <w:jc w:val="left"/>
    </w:pPr>
  </w:style>
  <w:style w:type="paragraph" w:customStyle="1" w:styleId="Enclosures">
    <w:name w:val="Enclosures"/>
    <w:basedOn w:val="Normal"/>
    <w:pPr>
      <w:keepNext/>
      <w:keepLines/>
      <w:tabs>
        <w:tab w:val="left" w:pos="5641"/>
      </w:tabs>
      <w:spacing w:before="480" w:after="0"/>
      <w:ind w:left="2382" w:hanging="1191"/>
      <w:jc w:val="left"/>
    </w:pPr>
  </w:style>
  <w:style w:type="paragraph" w:styleId="Title">
    <w:name w:val="Title"/>
    <w:basedOn w:val="Normal"/>
    <w:next w:val="SubTitle1"/>
    <w:pPr>
      <w:spacing w:after="480"/>
      <w:jc w:val="center"/>
    </w:pPr>
    <w:rPr>
      <w:b/>
      <w:kern w:val="28"/>
      <w:sz w:val="48"/>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customStyle="1" w:styleId="YReferences">
    <w:name w:val="YReferences"/>
    <w:basedOn w:val="Normal"/>
    <w:next w:val="Normal"/>
    <w:pPr>
      <w:spacing w:after="480"/>
      <w:ind w:left="3062" w:hanging="1531"/>
    </w:p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HistoryTable">
    <w:name w:val="HistoryTable"/>
    <w:basedOn w:val="Normal"/>
    <w:pPr>
      <w:spacing w:before="60" w:after="60"/>
      <w:jc w:val="left"/>
    </w:pPr>
    <w:rPr>
      <w:sz w:val="20"/>
    </w:rPr>
  </w:style>
  <w:style w:type="paragraph" w:customStyle="1" w:styleId="HistTableHeading">
    <w:name w:val="HistTableHeading"/>
    <w:basedOn w:val="Normal"/>
    <w:next w:val="HistoryTable"/>
    <w:pPr>
      <w:spacing w:after="120"/>
      <w:jc w:val="center"/>
    </w:pPr>
    <w:rPr>
      <w:rFonts w:ascii="Times New Roman Bold" w:hAnsi="Times New Roman Bold"/>
      <w:b/>
      <w:sz w:val="32"/>
    </w:rPr>
  </w:style>
  <w:style w:type="paragraph" w:customStyle="1" w:styleId="FigureTitle">
    <w:name w:val="Figure Title"/>
    <w:basedOn w:val="Normal"/>
    <w:next w:val="FigureBody"/>
    <w:uiPriority w:val="6"/>
    <w:pPr>
      <w:keepNext/>
      <w:spacing w:after="180"/>
    </w:pPr>
    <w:rPr>
      <w:b/>
    </w:rPr>
  </w:style>
  <w:style w:type="paragraph" w:customStyle="1" w:styleId="FigureBody">
    <w:name w:val="Figure Body"/>
    <w:basedOn w:val="Normal"/>
    <w:next w:val="FigureNote"/>
    <w:uiPriority w:val="7"/>
    <w:pPr>
      <w:keepNext/>
      <w:spacing w:after="40"/>
    </w:pPr>
  </w:style>
  <w:style w:type="paragraph" w:customStyle="1" w:styleId="FigureNote">
    <w:name w:val="Figure Note"/>
    <w:basedOn w:val="FigureSource"/>
    <w:next w:val="FigureSource"/>
    <w:uiPriority w:val="7"/>
    <w:rPr>
      <w:b/>
    </w:rPr>
  </w:style>
  <w:style w:type="paragraph" w:customStyle="1" w:styleId="FigureSource">
    <w:name w:val="Figure Source"/>
    <w:basedOn w:val="Normal"/>
    <w:next w:val="Normal"/>
    <w:uiPriority w:val="7"/>
    <w:rPr>
      <w:sz w:val="20"/>
    </w:rPr>
  </w:style>
  <w:style w:type="paragraph" w:customStyle="1" w:styleId="AnnexHeading1">
    <w:name w:val="Annex Heading 1"/>
    <w:basedOn w:val="Normal"/>
    <w:next w:val="Normal"/>
    <w:pPr>
      <w:pageBreakBefore/>
      <w:spacing w:before="240"/>
      <w:outlineLvl w:val="0"/>
    </w:pPr>
    <w:rPr>
      <w:b/>
      <w:smallCaps/>
      <w:sz w:val="36"/>
    </w:r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696FFE"/>
    <w:rPr>
      <w:sz w:val="16"/>
    </w:rPr>
  </w:style>
  <w:style w:type="character" w:styleId="FootnoteReference">
    <w:name w:val="footnote reference"/>
    <w:aliases w:val="Footnote"/>
    <w:basedOn w:val="DefaultParagraphFont"/>
    <w:uiPriority w:val="99"/>
    <w:unhideWhenUsed/>
    <w:qFormat/>
    <w:locked/>
    <w:rsid w:val="009E11F7"/>
    <w:rPr>
      <w:vertAlign w:val="superscript"/>
    </w:rPr>
  </w:style>
  <w:style w:type="character" w:styleId="CommentReference">
    <w:name w:val="annotation reference"/>
    <w:basedOn w:val="DefaultParagraphFont"/>
    <w:semiHidden/>
    <w:locked/>
    <w:rsid w:val="009A552A"/>
    <w:rPr>
      <w:sz w:val="16"/>
      <w:szCs w:val="16"/>
    </w:rPr>
  </w:style>
  <w:style w:type="paragraph" w:styleId="CommentText">
    <w:name w:val="annotation text"/>
    <w:basedOn w:val="Normal"/>
    <w:link w:val="CommentTextChar"/>
    <w:semiHidden/>
    <w:locked/>
    <w:rsid w:val="009A552A"/>
    <w:rPr>
      <w:sz w:val="20"/>
    </w:rPr>
  </w:style>
  <w:style w:type="character" w:customStyle="1" w:styleId="CommentTextChar">
    <w:name w:val="Comment Text Char"/>
    <w:basedOn w:val="DefaultParagraphFont"/>
    <w:link w:val="CommentText"/>
    <w:semiHidden/>
    <w:rsid w:val="009A552A"/>
    <w:rPr>
      <w:sz w:val="20"/>
    </w:rPr>
  </w:style>
  <w:style w:type="paragraph" w:styleId="CommentSubject">
    <w:name w:val="annotation subject"/>
    <w:basedOn w:val="CommentText"/>
    <w:next w:val="CommentText"/>
    <w:link w:val="CommentSubjectChar"/>
    <w:semiHidden/>
    <w:locked/>
    <w:rsid w:val="009A552A"/>
    <w:rPr>
      <w:b/>
      <w:bCs/>
    </w:rPr>
  </w:style>
  <w:style w:type="character" w:customStyle="1" w:styleId="CommentSubjectChar">
    <w:name w:val="Comment Subject Char"/>
    <w:basedOn w:val="CommentTextChar"/>
    <w:link w:val="CommentSubject"/>
    <w:semiHidden/>
    <w:rsid w:val="009A552A"/>
    <w:rPr>
      <w:b/>
      <w:bCs/>
      <w:sz w:val="20"/>
    </w:rPr>
  </w:style>
  <w:style w:type="paragraph" w:styleId="BalloonText">
    <w:name w:val="Balloon Text"/>
    <w:basedOn w:val="Normal"/>
    <w:link w:val="BalloonTextChar"/>
    <w:semiHidden/>
    <w:locked/>
    <w:rsid w:val="009A552A"/>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9A552A"/>
    <w:rPr>
      <w:rFonts w:ascii="Segoe UI" w:hAnsi="Segoe UI" w:cs="Segoe UI"/>
      <w:sz w:val="18"/>
      <w:szCs w:val="18"/>
    </w:rPr>
  </w:style>
  <w:style w:type="paragraph" w:styleId="ListParagraph">
    <w:name w:val="List Paragraph"/>
    <w:basedOn w:val="Normal"/>
    <w:link w:val="ListParagraphChar"/>
    <w:uiPriority w:val="34"/>
    <w:qFormat/>
    <w:locked/>
    <w:rsid w:val="00AD3351"/>
    <w:pPr>
      <w:widowControl w:val="0"/>
      <w:spacing w:before="120" w:after="120"/>
      <w:ind w:left="720"/>
      <w:contextualSpacing/>
    </w:pPr>
    <w:rPr>
      <w:rFonts w:ascii="Verdana" w:hAnsi="Verdana"/>
      <w:snapToGrid w:val="0"/>
      <w:sz w:val="20"/>
      <w:lang w:eastAsia="fi-FI"/>
    </w:rPr>
  </w:style>
  <w:style w:type="paragraph" w:styleId="NoSpacing">
    <w:name w:val="No Spacing"/>
    <w:uiPriority w:val="1"/>
    <w:qFormat/>
    <w:locked/>
    <w:rsid w:val="00AD3351"/>
    <w:pPr>
      <w:widowControl w:val="0"/>
      <w:jc w:val="both"/>
    </w:pPr>
    <w:rPr>
      <w:rFonts w:ascii="Verdana" w:hAnsi="Verdana"/>
      <w:snapToGrid w:val="0"/>
      <w:sz w:val="20"/>
      <w:lang w:eastAsia="fi-FI"/>
    </w:rPr>
  </w:style>
  <w:style w:type="numbering" w:customStyle="1" w:styleId="ECHANumberlist">
    <w:name w:val="ECHA Number list"/>
    <w:basedOn w:val="NoList"/>
    <w:rsid w:val="009E4699"/>
    <w:pPr>
      <w:numPr>
        <w:numId w:val="16"/>
      </w:numPr>
    </w:pPr>
  </w:style>
  <w:style w:type="table" w:styleId="TableGrid">
    <w:name w:val="Table Grid"/>
    <w:basedOn w:val="TableNormal"/>
    <w:locked/>
    <w:rsid w:val="005E2FE7"/>
    <w:pPr>
      <w:widowControl w:val="0"/>
    </w:pPr>
    <w:rPr>
      <w:rFonts w:ascii="Verdana" w:hAnsi="Verdana"/>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5E2FE7"/>
  </w:style>
  <w:style w:type="character" w:customStyle="1" w:styleId="FootnoteTextChar">
    <w:name w:val="Footnote Text Char"/>
    <w:basedOn w:val="DefaultParagraphFont"/>
    <w:link w:val="FootnoteText"/>
    <w:uiPriority w:val="99"/>
    <w:rsid w:val="005053B8"/>
    <w:rPr>
      <w:sz w:val="20"/>
    </w:rPr>
  </w:style>
  <w:style w:type="table" w:customStyle="1" w:styleId="TableGrid1">
    <w:name w:val="Table Grid1"/>
    <w:basedOn w:val="TableNormal"/>
    <w:next w:val="TableGrid"/>
    <w:rsid w:val="00D20AA9"/>
    <w:pPr>
      <w:widowControl w:val="0"/>
    </w:pPr>
    <w:rPr>
      <w:rFonts w:ascii="Verdana" w:hAnsi="Verdana"/>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32121"/>
    <w:pPr>
      <w:widowControl w:val="0"/>
    </w:pPr>
    <w:rPr>
      <w:rFonts w:ascii="Verdana" w:hAnsi="Verdana"/>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locked/>
    <w:rsid w:val="00681B22"/>
    <w:rPr>
      <w:color w:val="0563C1" w:themeColor="hyperlink"/>
      <w:u w:val="single"/>
    </w:rPr>
  </w:style>
  <w:style w:type="character" w:styleId="FollowedHyperlink">
    <w:name w:val="FollowedHyperlink"/>
    <w:basedOn w:val="DefaultParagraphFont"/>
    <w:semiHidden/>
    <w:locked/>
    <w:rsid w:val="00681B22"/>
    <w:rPr>
      <w:color w:val="954F72" w:themeColor="followedHyperlink"/>
      <w:u w:val="single"/>
    </w:rPr>
  </w:style>
  <w:style w:type="paragraph" w:styleId="Revision">
    <w:name w:val="Revision"/>
    <w:hidden/>
    <w:semiHidden/>
    <w:locked/>
    <w:rsid w:val="000C2820"/>
  </w:style>
  <w:style w:type="paragraph" w:customStyle="1" w:styleId="CM4">
    <w:name w:val="CM4"/>
    <w:basedOn w:val="Normal"/>
    <w:next w:val="Normal"/>
    <w:uiPriority w:val="99"/>
    <w:rsid w:val="00D34658"/>
    <w:pPr>
      <w:autoSpaceDE w:val="0"/>
      <w:autoSpaceDN w:val="0"/>
      <w:adjustRightInd w:val="0"/>
      <w:spacing w:after="0"/>
      <w:jc w:val="left"/>
    </w:pPr>
    <w:rPr>
      <w:szCs w:val="24"/>
    </w:rPr>
  </w:style>
  <w:style w:type="paragraph" w:customStyle="1" w:styleId="CM1">
    <w:name w:val="CM1"/>
    <w:basedOn w:val="Normal"/>
    <w:next w:val="Normal"/>
    <w:uiPriority w:val="99"/>
    <w:rsid w:val="000A1C1F"/>
    <w:pPr>
      <w:autoSpaceDE w:val="0"/>
      <w:autoSpaceDN w:val="0"/>
      <w:adjustRightInd w:val="0"/>
      <w:spacing w:after="0"/>
      <w:jc w:val="left"/>
    </w:pPr>
    <w:rPr>
      <w:szCs w:val="24"/>
      <w:lang w:val="de-DE"/>
    </w:rPr>
  </w:style>
  <w:style w:type="paragraph" w:customStyle="1" w:styleId="CM3">
    <w:name w:val="CM3"/>
    <w:basedOn w:val="Normal"/>
    <w:next w:val="Normal"/>
    <w:uiPriority w:val="99"/>
    <w:rsid w:val="000A1C1F"/>
    <w:pPr>
      <w:autoSpaceDE w:val="0"/>
      <w:autoSpaceDN w:val="0"/>
      <w:adjustRightInd w:val="0"/>
      <w:spacing w:after="0"/>
      <w:jc w:val="left"/>
    </w:pPr>
    <w:rPr>
      <w:szCs w:val="24"/>
      <w:lang w:val="de-DE"/>
    </w:rPr>
  </w:style>
  <w:style w:type="paragraph" w:customStyle="1" w:styleId="Default">
    <w:name w:val="Default"/>
    <w:rsid w:val="000E5145"/>
    <w:pPr>
      <w:autoSpaceDE w:val="0"/>
      <w:autoSpaceDN w:val="0"/>
      <w:adjustRightInd w:val="0"/>
    </w:pPr>
    <w:rPr>
      <w:rFonts w:ascii="Verdana" w:hAnsi="Verdana" w:cs="Verdana"/>
      <w:color w:val="000000"/>
      <w:szCs w:val="24"/>
    </w:rPr>
  </w:style>
  <w:style w:type="paragraph" w:styleId="NormalWeb">
    <w:name w:val="Normal (Web)"/>
    <w:basedOn w:val="Normal"/>
    <w:uiPriority w:val="99"/>
    <w:semiHidden/>
    <w:unhideWhenUsed/>
    <w:locked/>
    <w:rsid w:val="008D3A4F"/>
    <w:pPr>
      <w:spacing w:before="100" w:beforeAutospacing="1" w:after="100" w:afterAutospacing="1"/>
      <w:jc w:val="left"/>
    </w:pPr>
    <w:rPr>
      <w:szCs w:val="24"/>
    </w:rPr>
  </w:style>
  <w:style w:type="character" w:customStyle="1" w:styleId="UnresolvedMention1">
    <w:name w:val="Unresolved Mention1"/>
    <w:basedOn w:val="DefaultParagraphFont"/>
    <w:uiPriority w:val="99"/>
    <w:semiHidden/>
    <w:unhideWhenUsed/>
    <w:rsid w:val="00B15BA1"/>
    <w:rPr>
      <w:color w:val="605E5C"/>
      <w:shd w:val="clear" w:color="auto" w:fill="E1DFDD"/>
    </w:rPr>
  </w:style>
  <w:style w:type="character" w:customStyle="1" w:styleId="ListParagraphChar">
    <w:name w:val="List Paragraph Char"/>
    <w:basedOn w:val="DefaultParagraphFont"/>
    <w:link w:val="ListParagraph"/>
    <w:uiPriority w:val="34"/>
    <w:locked/>
    <w:rsid w:val="00555CFC"/>
    <w:rPr>
      <w:rFonts w:ascii="Verdana" w:hAnsi="Verdana"/>
      <w:snapToGrid w:val="0"/>
      <w:sz w:val="20"/>
      <w:lang w:eastAsia="fi-FI"/>
    </w:rPr>
  </w:style>
  <w:style w:type="character" w:customStyle="1" w:styleId="UnresolvedMention2">
    <w:name w:val="Unresolved Mention2"/>
    <w:basedOn w:val="DefaultParagraphFont"/>
    <w:uiPriority w:val="99"/>
    <w:semiHidden/>
    <w:unhideWhenUsed/>
    <w:rsid w:val="00750FA4"/>
    <w:rPr>
      <w:color w:val="605E5C"/>
      <w:shd w:val="clear" w:color="auto" w:fill="E1DFDD"/>
    </w:rPr>
  </w:style>
  <w:style w:type="paragraph" w:customStyle="1" w:styleId="NoteHead">
    <w:name w:val="NoteHead"/>
    <w:basedOn w:val="Normal"/>
    <w:next w:val="Normal"/>
    <w:rsid w:val="00704D6A"/>
    <w:pPr>
      <w:spacing w:before="720" w:after="720"/>
      <w:jc w:val="center"/>
    </w:pPr>
    <w:rPr>
      <w:b/>
      <w:smallCaps/>
      <w:lang w:eastAsia="en-US"/>
    </w:rPr>
  </w:style>
  <w:style w:type="character" w:customStyle="1" w:styleId="normaltextrun">
    <w:name w:val="normaltextrun"/>
    <w:basedOn w:val="DefaultParagraphFont"/>
    <w:rsid w:val="00341E3D"/>
  </w:style>
  <w:style w:type="paragraph" w:customStyle="1" w:styleId="FFWNumberedList">
    <w:name w:val="FFW Numbered List"/>
    <w:basedOn w:val="Normal"/>
    <w:uiPriority w:val="3"/>
    <w:qFormat/>
    <w:rsid w:val="004B7F63"/>
    <w:pPr>
      <w:numPr>
        <w:numId w:val="22"/>
      </w:numPr>
      <w:spacing w:before="240" w:after="0" w:line="260" w:lineRule="atLeast"/>
    </w:pPr>
    <w:rPr>
      <w:rFonts w:ascii="Arial" w:eastAsiaTheme="minorHAnsi" w:hAnsi="Arial" w:cstheme="minorBidi"/>
      <w:sz w:val="20"/>
      <w:szCs w:val="22"/>
      <w:lang w:eastAsia="en-US"/>
    </w:rPr>
  </w:style>
  <w:style w:type="numbering" w:customStyle="1" w:styleId="NumbListNumberedList">
    <w:name w:val="NumbList NumberedList"/>
    <w:uiPriority w:val="99"/>
    <w:rsid w:val="004B7F63"/>
    <w:pPr>
      <w:numPr>
        <w:numId w:val="21"/>
      </w:numPr>
    </w:pPr>
  </w:style>
  <w:style w:type="paragraph" w:customStyle="1" w:styleId="paragraph">
    <w:name w:val="paragraph"/>
    <w:basedOn w:val="Normal"/>
    <w:rsid w:val="004B7F63"/>
    <w:pPr>
      <w:spacing w:before="100" w:beforeAutospacing="1" w:after="100" w:afterAutospacing="1"/>
      <w:jc w:val="left"/>
    </w:pPr>
    <w:rPr>
      <w:szCs w:val="24"/>
    </w:rPr>
  </w:style>
  <w:style w:type="character" w:customStyle="1" w:styleId="eop">
    <w:name w:val="eop"/>
    <w:basedOn w:val="DefaultParagraphFont"/>
    <w:rsid w:val="004B7F63"/>
  </w:style>
  <w:style w:type="character" w:customStyle="1" w:styleId="ui-provider">
    <w:name w:val="ui-provider"/>
    <w:basedOn w:val="DefaultParagraphFont"/>
    <w:rsid w:val="00D12793"/>
  </w:style>
  <w:style w:type="character" w:styleId="UnresolvedMention">
    <w:name w:val="Unresolved Mention"/>
    <w:basedOn w:val="DefaultParagraphFont"/>
    <w:uiPriority w:val="99"/>
    <w:semiHidden/>
    <w:unhideWhenUsed/>
    <w:rsid w:val="005861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3849">
      <w:bodyDiv w:val="1"/>
      <w:marLeft w:val="0"/>
      <w:marRight w:val="0"/>
      <w:marTop w:val="0"/>
      <w:marBottom w:val="0"/>
      <w:divBdr>
        <w:top w:val="none" w:sz="0" w:space="0" w:color="auto"/>
        <w:left w:val="none" w:sz="0" w:space="0" w:color="auto"/>
        <w:bottom w:val="none" w:sz="0" w:space="0" w:color="auto"/>
        <w:right w:val="none" w:sz="0" w:space="0" w:color="auto"/>
      </w:divBdr>
    </w:div>
    <w:div w:id="238641223">
      <w:bodyDiv w:val="1"/>
      <w:marLeft w:val="0"/>
      <w:marRight w:val="0"/>
      <w:marTop w:val="0"/>
      <w:marBottom w:val="0"/>
      <w:divBdr>
        <w:top w:val="none" w:sz="0" w:space="0" w:color="auto"/>
        <w:left w:val="none" w:sz="0" w:space="0" w:color="auto"/>
        <w:bottom w:val="none" w:sz="0" w:space="0" w:color="auto"/>
        <w:right w:val="none" w:sz="0" w:space="0" w:color="auto"/>
      </w:divBdr>
    </w:div>
    <w:div w:id="299499874">
      <w:bodyDiv w:val="1"/>
      <w:marLeft w:val="0"/>
      <w:marRight w:val="0"/>
      <w:marTop w:val="0"/>
      <w:marBottom w:val="0"/>
      <w:divBdr>
        <w:top w:val="none" w:sz="0" w:space="0" w:color="auto"/>
        <w:left w:val="none" w:sz="0" w:space="0" w:color="auto"/>
        <w:bottom w:val="none" w:sz="0" w:space="0" w:color="auto"/>
        <w:right w:val="none" w:sz="0" w:space="0" w:color="auto"/>
      </w:divBdr>
    </w:div>
    <w:div w:id="612320084">
      <w:bodyDiv w:val="1"/>
      <w:marLeft w:val="0"/>
      <w:marRight w:val="0"/>
      <w:marTop w:val="0"/>
      <w:marBottom w:val="0"/>
      <w:divBdr>
        <w:top w:val="none" w:sz="0" w:space="0" w:color="auto"/>
        <w:left w:val="none" w:sz="0" w:space="0" w:color="auto"/>
        <w:bottom w:val="none" w:sz="0" w:space="0" w:color="auto"/>
        <w:right w:val="none" w:sz="0" w:space="0" w:color="auto"/>
      </w:divBdr>
    </w:div>
    <w:div w:id="672269688">
      <w:bodyDiv w:val="1"/>
      <w:marLeft w:val="0"/>
      <w:marRight w:val="0"/>
      <w:marTop w:val="0"/>
      <w:marBottom w:val="0"/>
      <w:divBdr>
        <w:top w:val="none" w:sz="0" w:space="0" w:color="auto"/>
        <w:left w:val="none" w:sz="0" w:space="0" w:color="auto"/>
        <w:bottom w:val="none" w:sz="0" w:space="0" w:color="auto"/>
        <w:right w:val="none" w:sz="0" w:space="0" w:color="auto"/>
      </w:divBdr>
    </w:div>
    <w:div w:id="749040473">
      <w:bodyDiv w:val="1"/>
      <w:marLeft w:val="0"/>
      <w:marRight w:val="0"/>
      <w:marTop w:val="0"/>
      <w:marBottom w:val="0"/>
      <w:divBdr>
        <w:top w:val="none" w:sz="0" w:space="0" w:color="auto"/>
        <w:left w:val="none" w:sz="0" w:space="0" w:color="auto"/>
        <w:bottom w:val="none" w:sz="0" w:space="0" w:color="auto"/>
        <w:right w:val="none" w:sz="0" w:space="0" w:color="auto"/>
      </w:divBdr>
    </w:div>
    <w:div w:id="990331376">
      <w:bodyDiv w:val="1"/>
      <w:marLeft w:val="0"/>
      <w:marRight w:val="0"/>
      <w:marTop w:val="0"/>
      <w:marBottom w:val="0"/>
      <w:divBdr>
        <w:top w:val="none" w:sz="0" w:space="0" w:color="auto"/>
        <w:left w:val="none" w:sz="0" w:space="0" w:color="auto"/>
        <w:bottom w:val="none" w:sz="0" w:space="0" w:color="auto"/>
        <w:right w:val="none" w:sz="0" w:space="0" w:color="auto"/>
      </w:divBdr>
    </w:div>
    <w:div w:id="1108699759">
      <w:bodyDiv w:val="1"/>
      <w:marLeft w:val="0"/>
      <w:marRight w:val="0"/>
      <w:marTop w:val="0"/>
      <w:marBottom w:val="0"/>
      <w:divBdr>
        <w:top w:val="none" w:sz="0" w:space="0" w:color="auto"/>
        <w:left w:val="none" w:sz="0" w:space="0" w:color="auto"/>
        <w:bottom w:val="none" w:sz="0" w:space="0" w:color="auto"/>
        <w:right w:val="none" w:sz="0" w:space="0" w:color="auto"/>
      </w:divBdr>
    </w:div>
    <w:div w:id="1316840949">
      <w:bodyDiv w:val="1"/>
      <w:marLeft w:val="0"/>
      <w:marRight w:val="0"/>
      <w:marTop w:val="0"/>
      <w:marBottom w:val="0"/>
      <w:divBdr>
        <w:top w:val="none" w:sz="0" w:space="0" w:color="auto"/>
        <w:left w:val="none" w:sz="0" w:space="0" w:color="auto"/>
        <w:bottom w:val="none" w:sz="0" w:space="0" w:color="auto"/>
        <w:right w:val="none" w:sz="0" w:space="0" w:color="auto"/>
      </w:divBdr>
    </w:div>
    <w:div w:id="1584798359">
      <w:bodyDiv w:val="1"/>
      <w:marLeft w:val="0"/>
      <w:marRight w:val="0"/>
      <w:marTop w:val="0"/>
      <w:marBottom w:val="0"/>
      <w:divBdr>
        <w:top w:val="none" w:sz="0" w:space="0" w:color="auto"/>
        <w:left w:val="none" w:sz="0" w:space="0" w:color="auto"/>
        <w:bottom w:val="none" w:sz="0" w:space="0" w:color="auto"/>
        <w:right w:val="none" w:sz="0" w:space="0" w:color="auto"/>
      </w:divBdr>
    </w:div>
    <w:div w:id="1849172187">
      <w:bodyDiv w:val="1"/>
      <w:marLeft w:val="0"/>
      <w:marRight w:val="0"/>
      <w:marTop w:val="0"/>
      <w:marBottom w:val="0"/>
      <w:divBdr>
        <w:top w:val="none" w:sz="0" w:space="0" w:color="auto"/>
        <w:left w:val="none" w:sz="0" w:space="0" w:color="auto"/>
        <w:bottom w:val="none" w:sz="0" w:space="0" w:color="auto"/>
        <w:right w:val="none" w:sz="0" w:space="0" w:color="auto"/>
      </w:divBdr>
    </w:div>
    <w:div w:id="1868638751">
      <w:bodyDiv w:val="1"/>
      <w:marLeft w:val="0"/>
      <w:marRight w:val="0"/>
      <w:marTop w:val="0"/>
      <w:marBottom w:val="0"/>
      <w:divBdr>
        <w:top w:val="none" w:sz="0" w:space="0" w:color="auto"/>
        <w:left w:val="none" w:sz="0" w:space="0" w:color="auto"/>
        <w:bottom w:val="none" w:sz="0" w:space="0" w:color="auto"/>
        <w:right w:val="none" w:sz="0" w:space="0" w:color="auto"/>
      </w:divBdr>
    </w:div>
    <w:div w:id="1950508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ircabc.europa.eu/ui/group/e947a950-8032-4df9-a3f0-f61eefd3d81b/library/47c6e2b3-27a1-4137-83e4-9605a64e2de7?p=1&amp;n=10&amp;sort=modified_DES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f2aa64ec-72ad-4d4e-995c-a8de57c9dade</Id>
  <Names>
    <Latin>
      <FirstName>Vincent </FirstName>
      <LastName>Delvaux</LastName>
    </Latin>
    <Greek>
      <FirstName/>
      <LastName/>
    </Greek>
    <Cyrillic>
      <FirstName/>
      <LastName/>
    </Cyrillic>
    <DocumentScript>
      <FirstName>Vincent </FirstName>
      <LastName>Delvaux</LastName>
      <FullName>Vincent  Delvaux</FullName>
    </DocumentScript>
  </Names>
  <Initials>VD</Initials>
  <Gender>m</Gender>
  <Email>Vincent.DELVAUX@ec.europa.eu</Email>
  <Service>SANTE.DDG2.E.4.003</Service>
  <Function ShowInSignature="true"/>
  <WebAddress/>
  <InheritedWebAddress>WebAddress</InheritedWebAddress>
  <OrgaEntity1>
    <Id>6332c4d2-2874-4332-ae74-fc843cef9b7e</Id>
    <LogicalLevel>1</LogicalLevel>
    <Name>SANTE</Name>
    <HeadLine1>DIRECTORATE-GENERAL FOR HEALTH AND FOOD SAFETY</HeadLine1>
    <HeadLine2/>
    <PrimaryAddressId>f03b5801-04c9-4931-aa17-c6d6c70bc579</PrimaryAddressId>
    <SecondaryAddressId/>
    <WebAddress>WebAddress</WebAddress>
    <InheritedWebAddress>WebAddress</InheritedWebAddress>
    <ShowInHeader>true</ShowInHeader>
  </OrgaEntity1>
  <OrgaEntity2>
    <Id>80cb2d41-d17c-42e4-a39e-9ecfff602a03</Id>
    <LogicalLevel>2</LogicalLevel>
    <Name>SANTE.DDG2.E</Name>
    <HeadLine1>Food and feed safety, innovation</HeadLine1>
    <HeadLine2/>
    <PrimaryAddressId>f03b5801-04c9-4931-aa17-c6d6c70bc579</PrimaryAddressId>
    <SecondaryAddressId/>
    <WebAddress/>
    <InheritedWebAddress>WebAddress</InheritedWebAddress>
    <ShowInHeader>true</ShowInHeader>
  </OrgaEntity2>
  <OrgaEntity3>
    <Id>6d9379c7-9868-4a94-816b-0790e9cad321</Id>
    <LogicalLevel>3</LogicalLevel>
    <Name>SANTE.DDG2.E.4</Name>
    <HeadLine1>Pesticides and biocides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+32 229 58196</Phone>
    <Office>F101 05/082</Office>
  </MainWorkplace>
  <Workplaces>
    <Workplace IsMain="false">
      <AddressId>1264fb81-f6bb-475e-9f9d-a937d3be6ee2</AddressId>
      <Fax/>
      <Phone/>
      <Office/>
    </Workplace>
    <Workplace IsMain="true">
      <AddressId>f03b5801-04c9-4931-aa17-c6d6c70bc579</AddressId>
      <Fax/>
      <Phone>+32 229 58196</Phone>
      <Office>F101 05/082</Office>
    </Workplace>
  </Workplaces>
</Author>
</file>

<file path=customXml/item2.xml><?xml version="1.0" encoding="utf-8"?>
<EurolookProperties>
  <ProductCustomizationId>EC</ProductCustomizationId>
  <Created>
    <Version>10.0.38495.0</Version>
    <Date>2019-03-28T10:18:47</Date>
    <Language>EN</Language>
    <Note/>
  </Created>
  <Edited>
    <Version>10.0.41843.0</Version>
    <Date>2021-06-08T07:25:11</Date>
  </Edited>
  <DocumentModel>
    <Id>6cbda13a-4db2-46c6-876a-ef72275827ef</Id>
    <Name>Report</Name>
  </DocumentModel>
  <DocumentDate>2019-03-28T10:18:47</DocumentDate>
  <DocumentVersion>0.1</DocumentVersion>
  <CompatibilityMode>Eurolook10</CompatibilityMode>
</Eurolook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8898c998-79be-44de-9e55-d0380ec6829d" xsi:nil="true"/>
    <lcf76f155ced4ddcb4097134ff3c332f xmlns="414b4fe1-0bf4-4495-a878-d47fe5581e04">
      <Terms xmlns="http://schemas.microsoft.com/office/infopath/2007/PartnerControls"/>
    </lcf76f155ced4ddcb4097134ff3c332f>
    <Comments xmlns="414b4fe1-0bf4-4495-a878-d47fe5581e0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77F79C59A1A5847A686C34ED1E158D0" ma:contentTypeVersion="18" ma:contentTypeDescription="Create a new document." ma:contentTypeScope="" ma:versionID="0a96a35b5908ee6a6ba831444365d76c">
  <xsd:schema xmlns:xsd="http://www.w3.org/2001/XMLSchema" xmlns:xs="http://www.w3.org/2001/XMLSchema" xmlns:p="http://schemas.microsoft.com/office/2006/metadata/properties" xmlns:ns2="414b4fe1-0bf4-4495-a878-d47fe5581e04" xmlns:ns3="8898c998-79be-44de-9e55-d0380ec6829d" targetNamespace="http://schemas.microsoft.com/office/2006/metadata/properties" ma:root="true" ma:fieldsID="4e8d499de4dcc52281d58738f2a3bfc6" ns2:_="" ns3:_="">
    <xsd:import namespace="414b4fe1-0bf4-4495-a878-d47fe5581e04"/>
    <xsd:import namespace="8898c998-79be-44de-9e55-d0380ec682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Comme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b4fe1-0bf4-4495-a878-d47fe5581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a8f843-fb5e-4649-9262-3146ae55000f" ma:termSetId="09814cd3-568e-fe90-9814-8d621ff8fb84" ma:anchorId="fba54fb3-c3e1-fe81-a776-ca4b69148c4d" ma:open="true" ma:isKeyword="false">
      <xsd:complexType>
        <xsd:sequence>
          <xsd:element ref="pc:Terms" minOccurs="0" maxOccurs="1"/>
        </xsd:sequence>
      </xsd:complexType>
    </xsd:element>
    <xsd:element name="Comments" ma:index="24" nillable="true" ma:displayName="Comments" ma:format="Dropdown" ma:internalName="Comments">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98c998-79be-44de-9e55-d0380ec6829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ca53b34-2500-4824-bd6c-eae04145d6b3}" ma:internalName="TaxCatchAll" ma:showField="CatchAllData" ma:web="8898c998-79be-44de-9e55-d0380ec682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 StyleName="" Version="0"/>
</file>

<file path=customXml/item7.xml><?xml version="1.0" encoding="utf-8"?>
<Texts>
  <SecurityPersonalData>Personal data</SecurityPersonalData>
  <SecurityPharma>Pharma investigations</SecurityPharma>
  <MarkingUntilText>UNTIL</MarkingUntilText>
  <LabelPictureSeq>Picture {SEQ Picture \* ARABIC } – </LabelPictureSeq>
  <SecurityMediationServiceMatter>Mediation service</SecurityMediationServiceMatter>
  <SecurityDeadline>Deadline</SecurityDeadline>
  <SecurityEconomyAndFinance>Economy and finance</SecurityEconomyAndFinance>
  <FooterFax>Fax</FooterFax>
  <FooterOffice>Office:</FooterOffice>
  <SecurityOlafInvestigations>OLAF investigations</SecurityOlafInvestigations>
  <TechHistory>Document History</TechHistory>
  <SensitiveHandling>Handling instructions for SENSITIVE information are given at https://europa.eu/!db43PX</SensitiveHandling>
  <SecurityOlafSpecialHandling>OLAF investigations</SecurityOlafSpecialHandling>
  <SecurityPersonal>Personal</SecurityPersonal>
  <CourtProceduralDocuments>Court procedural documents</CourtProceduralDocuments>
  <OrgaRoot>EUROPEAN COMMISSION</OrgaRoot>
  <TechHistoryComment>Comment</TechHistoryComment>
  <Contact>Contact:</Contact>
  <SensitiveLabel>Sensitive</SensitiveLabel>
  <SpecialHandlingLabel>Special Handling</SpecialHandlingLabel>
  <SecurityInvestigationsDisciplinary>Investigations and disciplinary matters</SecurityInvestigationsDisciplinary>
  <SecurityCompOperations>COMP</SecurityCompOperations>
  <SecurityEuSatellite>EU satellite navigation matters</SecurityEuSatellite>
  <SecurityReleasable>RELEASABLE TO:</SecurityReleasable>
  <AddresseeTo>To:</AddresseeTo>
  <SecurityStaffMatter>Staff matter</SecurityStaffMatter>
  <SecurityOpinionLegalService>Opinion of the Legal Service</SecurityOpinionLegalService>
  <SpecialHandlingFootnote>Special handling instructions are given at https://europa.eu/!db43PX</SpecialHandlingFootnote>
  <SecurityEtsSensitive>ETS</SecurityEtsSensitive>
  <SecurityEtsCritical>ETS Critical</SecurityEtsCritical>
  <SecurityCompSpecial>COMP</SecurityCompSpecial>
  <LabelSource>Source</LabelSource>
  <SecurityPharmaSpecial>Pharma investigations</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TechHistoryVersion>Version</TechHistoryVersion>
  <TLPAmber>TLP: Amber</TLPAmber>
  <SecurityMedicalSecret>Medical secret</SecurityMedicalSecret>
  <Contacts>Contacts:</Contacts>
  <SecurityEmbargo>Embargo until</SecurityEmbargo>
  <DateFormatShort>dd/MM/yyyy</DateFormatShort>
  <DateFormatLong>d MMMM yyyy</DateFormatLong>
</Texts>
</file>

<file path=customXml/itemProps1.xml><?xml version="1.0" encoding="utf-8"?>
<ds:datastoreItem xmlns:ds="http://schemas.openxmlformats.org/officeDocument/2006/customXml" ds:itemID="{EE044946-5330-43F7-8D16-AA78684F2938}">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3CFF4254-5195-4B11-8423-19EB6788F0C5}">
  <ds:schemaRefs>
    <ds:schemaRef ds:uri="414b4fe1-0bf4-4495-a878-d47fe5581e04"/>
    <ds:schemaRef ds:uri="http://schemas.microsoft.com/office/infopath/2007/PartnerControls"/>
    <ds:schemaRef ds:uri="http://purl.org/dc/dcmitype/"/>
    <ds:schemaRef ds:uri="http://schemas.microsoft.com/office/2006/documentManagement/types"/>
    <ds:schemaRef ds:uri="8898c998-79be-44de-9e55-d0380ec6829d"/>
    <ds:schemaRef ds:uri="http://purl.org/dc/elements/1.1/"/>
    <ds:schemaRef ds:uri="http://schemas.microsoft.com/office/2006/metadata/properties"/>
    <ds:schemaRef ds:uri="http://www.w3.org/XML/1998/namespace"/>
    <ds:schemaRef ds:uri="http://purl.org/dc/terms/"/>
    <ds:schemaRef ds:uri="http://schemas.openxmlformats.org/package/2006/metadata/core-properties"/>
  </ds:schemaRefs>
</ds:datastoreItem>
</file>

<file path=customXml/itemProps4.xml><?xml version="1.0" encoding="utf-8"?>
<ds:datastoreItem xmlns:ds="http://schemas.openxmlformats.org/officeDocument/2006/customXml" ds:itemID="{4CECBD3E-6185-4E00-8690-0A97EB5AB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b4fe1-0bf4-4495-a878-d47fe5581e04"/>
    <ds:schemaRef ds:uri="8898c998-79be-44de-9e55-d0380ec682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6FA895-1CE3-4C1E-8B58-948AD38EBDC7}">
  <ds:schemaRefs>
    <ds:schemaRef ds:uri="http://schemas.microsoft.com/sharepoint/v3/contenttype/forms"/>
  </ds:schemaRefs>
</ds:datastoreItem>
</file>

<file path=customXml/itemProps6.xml><?xml version="1.0" encoding="utf-8"?>
<ds:datastoreItem xmlns:ds="http://schemas.openxmlformats.org/officeDocument/2006/customXml" ds:itemID="{BFE81E95-DCC9-4226-B0F2-ABAFD0369E2A}">
  <ds:schemaRefs>
    <ds:schemaRef ds:uri="http://schemas.openxmlformats.org/officeDocument/2006/bibliography"/>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130</TotalTime>
  <Pages>5</Pages>
  <Words>1456</Words>
  <Characters>8305</Characters>
  <Application>Microsoft Office Word</Application>
  <DocSecurity>0</DocSecurity>
  <PresentationFormat>Microsoft Word 14.0</PresentationFormat>
  <Lines>69</Lines>
  <Paragraphs>19</Paragraphs>
  <ScaleCrop>true</ScaleCrop>
  <HeadingPairs>
    <vt:vector size="4" baseType="variant">
      <vt:variant>
        <vt:lpstr>Title</vt:lpstr>
      </vt:variant>
      <vt:variant>
        <vt:i4>1</vt:i4>
      </vt:variant>
      <vt:variant>
        <vt:lpstr>Titel</vt:lpstr>
      </vt:variant>
      <vt:variant>
        <vt:i4>1</vt:i4>
      </vt:variant>
    </vt:vector>
  </HeadingPairs>
  <TitlesOfParts>
    <vt:vector size="2" baseType="lpstr">
      <vt:lpstr/>
      <vt:lpstr>Draft note for discussion with Member States’ Competent Authorities for biocidal products
Note for Guidance</vt:lpstr>
    </vt:vector>
  </TitlesOfParts>
  <Company>European Commission</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Elodie Cazelle</cp:lastModifiedBy>
  <cp:revision>126</cp:revision>
  <cp:lastPrinted>2023-09-04T14:58:00Z</cp:lastPrinted>
  <dcterms:created xsi:type="dcterms:W3CDTF">2023-08-18T16:18:00Z</dcterms:created>
  <dcterms:modified xsi:type="dcterms:W3CDTF">2023-09-05T08:02:00Z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rep.dot</vt:lpwstr>
  </property>
  <property fmtid="{D5CDD505-2E9C-101B-9397-08002B2CF9AE}" pid="4" name="_dlc_DocIdItemGuid">
    <vt:lpwstr>bdcfa20a-b147-42b1-ac78-e3bb7f82fdeb</vt:lpwstr>
  </property>
  <property fmtid="{D5CDD505-2E9C-101B-9397-08002B2CF9AE}" pid="5" name="ContentTypeId">
    <vt:lpwstr>0x010100177F79C59A1A5847A686C34ED1E158D0</vt:lpwstr>
  </property>
  <property fmtid="{D5CDD505-2E9C-101B-9397-08002B2CF9AE}" pid="6" name="ECHASecClass">
    <vt:lpwstr>1;#Internal|a0307bc2-faf9-4068-8aeb-b713e4fa2a0f</vt:lpwstr>
  </property>
  <property fmtid="{D5CDD505-2E9C-101B-9397-08002B2CF9AE}" pid="7" name="ECHAProcess">
    <vt:lpwstr>9;#16.00 Activity management and development|e303f835-0e5c-4fee-8486-ae6996d815ae</vt:lpwstr>
  </property>
  <property fmtid="{D5CDD505-2E9C-101B-9397-08002B2CF9AE}" pid="8" name="ECHADocumentType">
    <vt:lpwstr>40;#Opinion|cd58e34f-8db4-42a5-9e66-63b775165e57</vt:lpwstr>
  </property>
  <property fmtid="{D5CDD505-2E9C-101B-9397-08002B2CF9AE}" pid="9" name="ECHACategory">
    <vt:lpwstr/>
  </property>
  <property fmtid="{D5CDD505-2E9C-101B-9397-08002B2CF9AE}" pid="10" name="Formatting">
    <vt:lpwstr>4.1</vt:lpwstr>
  </property>
  <property fmtid="{D5CDD505-2E9C-101B-9397-08002B2CF9AE}" pid="11" name="Last edited using">
    <vt:lpwstr>EL 4.6 Build 50000</vt:lpwstr>
  </property>
  <property fmtid="{D5CDD505-2E9C-101B-9397-08002B2CF9AE}" pid="12" name="MSIP_Label_6bd9ddd1-4d20-43f6-abfa-fc3c07406f94_Enabled">
    <vt:lpwstr>true</vt:lpwstr>
  </property>
  <property fmtid="{D5CDD505-2E9C-101B-9397-08002B2CF9AE}" pid="13" name="MSIP_Label_6bd9ddd1-4d20-43f6-abfa-fc3c07406f94_SetDate">
    <vt:lpwstr>2022-05-30T19:47:48Z</vt:lpwstr>
  </property>
  <property fmtid="{D5CDD505-2E9C-101B-9397-08002B2CF9AE}" pid="14" name="MSIP_Label_6bd9ddd1-4d20-43f6-abfa-fc3c07406f94_Method">
    <vt:lpwstr>Standard</vt:lpwstr>
  </property>
  <property fmtid="{D5CDD505-2E9C-101B-9397-08002B2CF9AE}" pid="15" name="MSIP_Label_6bd9ddd1-4d20-43f6-abfa-fc3c07406f94_Name">
    <vt:lpwstr>Commission Use</vt:lpwstr>
  </property>
  <property fmtid="{D5CDD505-2E9C-101B-9397-08002B2CF9AE}" pid="16" name="MSIP_Label_6bd9ddd1-4d20-43f6-abfa-fc3c07406f94_SiteId">
    <vt:lpwstr>b24c8b06-522c-46fe-9080-70926f8dddb1</vt:lpwstr>
  </property>
  <property fmtid="{D5CDD505-2E9C-101B-9397-08002B2CF9AE}" pid="17" name="MSIP_Label_6bd9ddd1-4d20-43f6-abfa-fc3c07406f94_ActionId">
    <vt:lpwstr>8c9b99a3-a9f0-4e9a-8eb4-6159957ac2a1</vt:lpwstr>
  </property>
  <property fmtid="{D5CDD505-2E9C-101B-9397-08002B2CF9AE}" pid="18" name="MSIP_Label_6bd9ddd1-4d20-43f6-abfa-fc3c07406f94_ContentBits">
    <vt:lpwstr>0</vt:lpwstr>
  </property>
  <property fmtid="{D5CDD505-2E9C-101B-9397-08002B2CF9AE}" pid="19" name="MediaServiceImageTags">
    <vt:lpwstr/>
  </property>
</Properties>
</file>