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2802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</w:pPr>
      <w:r w:rsidRPr="00187A8C"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  <w:t>SPOTKANIE GRUPY ROBOCZEJ DS. DETERGENTÓW</w:t>
      </w:r>
    </w:p>
    <w:p w14:paraId="0B9ECC2A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  <w:t>PRODUKTY KONSUMENCKIE I PROFESJONALNE</w:t>
      </w:r>
    </w:p>
    <w:p w14:paraId="660B2F43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14"/>
          <w:szCs w:val="14"/>
          <w:lang w:val="pl-PL"/>
        </w:rPr>
      </w:pPr>
    </w:p>
    <w:p w14:paraId="56210C88" w14:textId="5ABF356B" w:rsidR="004171D5" w:rsidRPr="00187A8C" w:rsidRDefault="004171D5" w:rsidP="00DB2A9F">
      <w:pPr>
        <w:widowControl w:val="0"/>
        <w:autoSpaceDE w:val="0"/>
        <w:autoSpaceDN w:val="0"/>
        <w:adjustRightInd w:val="0"/>
        <w:spacing w:before="120" w:after="120" w:line="264" w:lineRule="auto"/>
        <w:ind w:right="255"/>
        <w:jc w:val="both"/>
        <w:rPr>
          <w:rFonts w:asciiTheme="majorHAnsi" w:hAnsiTheme="majorHAnsi" w:cstheme="majorHAnsi"/>
          <w:color w:val="17365D" w:themeColor="text2" w:themeShade="BF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Warszawa, </w:t>
      </w:r>
      <w:r w:rsidR="00DA0AB7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21 czerwca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 202</w:t>
      </w:r>
      <w:r w:rsidR="009E292D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3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, godz. 1</w:t>
      </w:r>
      <w:r w:rsidR="00D5744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:00 -1</w:t>
      </w:r>
      <w:r w:rsidR="00042DC0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5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</w:t>
      </w:r>
      <w:r w:rsidR="00042DC0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</w:p>
    <w:p w14:paraId="4CEAAC86" w14:textId="77777777" w:rsidR="004171D5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cs="PT Sans"/>
          <w:color w:val="17365D" w:themeColor="text2" w:themeShade="BF"/>
          <w:sz w:val="2"/>
          <w:szCs w:val="10"/>
          <w:lang w:val="pl-PL"/>
        </w:rPr>
      </w:pPr>
    </w:p>
    <w:tbl>
      <w:tblPr>
        <w:tblW w:w="9747" w:type="dxa"/>
        <w:tblInd w:w="-147" w:type="dxa"/>
        <w:tblBorders>
          <w:top w:val="single" w:sz="4" w:space="0" w:color="006EAB"/>
          <w:left w:val="single" w:sz="4" w:space="0" w:color="006EAB"/>
          <w:bottom w:val="single" w:sz="4" w:space="0" w:color="006EAB"/>
          <w:right w:val="single" w:sz="4" w:space="0" w:color="006EAB"/>
          <w:insideH w:val="single" w:sz="4" w:space="0" w:color="auto"/>
          <w:insideV w:val="single" w:sz="4" w:space="0" w:color="006EAB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4171D5" w14:paraId="54CD4949" w14:textId="77777777" w:rsidTr="007013FE">
        <w:trPr>
          <w:trHeight w:val="261"/>
        </w:trPr>
        <w:tc>
          <w:tcPr>
            <w:tcW w:w="9747" w:type="dxa"/>
            <w:gridSpan w:val="3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shd w:val="clear" w:color="auto" w:fill="D7A95A"/>
            <w:vAlign w:val="center"/>
            <w:hideMark/>
          </w:tcPr>
          <w:p w14:paraId="61E978D4" w14:textId="77777777" w:rsidR="004171D5" w:rsidRPr="00DE10B3" w:rsidRDefault="004171D5" w:rsidP="00DB2A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DE10B3">
              <w:rPr>
                <w:rFonts w:asciiTheme="majorHAnsi" w:hAnsiTheme="majorHAnsi" w:cstheme="majorHAnsi"/>
                <w:b/>
                <w:color w:val="FFFFFF" w:themeColor="background1"/>
              </w:rPr>
              <w:t>PORZĄDEK OBRAD</w:t>
            </w:r>
          </w:p>
        </w:tc>
      </w:tr>
      <w:tr w:rsidR="004171D5" w14:paraId="18830EEE" w14:textId="77777777" w:rsidTr="007013FE">
        <w:trPr>
          <w:trHeight w:val="282"/>
        </w:trPr>
        <w:tc>
          <w:tcPr>
            <w:tcW w:w="9747" w:type="dxa"/>
            <w:gridSpan w:val="3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shd w:val="clear" w:color="auto" w:fill="D7A95A"/>
            <w:vAlign w:val="center"/>
            <w:hideMark/>
          </w:tcPr>
          <w:p w14:paraId="6281616A" w14:textId="4D23BA27" w:rsidR="004171D5" w:rsidRPr="00DE10B3" w:rsidRDefault="004171D5" w:rsidP="00DB2A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</w:pP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D57446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="0092769B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00 -1</w:t>
            </w:r>
            <w:r w:rsidR="00D57446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2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7E01EA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45</w:t>
            </w:r>
          </w:p>
        </w:tc>
      </w:tr>
      <w:tr w:rsidR="00DF0E40" w:rsidRPr="00AE57D9" w14:paraId="4763478C" w14:textId="77777777" w:rsidTr="007013FE">
        <w:trPr>
          <w:trHeight w:val="573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6CD07AA" w14:textId="0BBB6A53" w:rsidR="00DF0E40" w:rsidRPr="0018053A" w:rsidRDefault="00643646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 w:rsidRPr="0018053A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7770DC71" w14:textId="15950472" w:rsidR="00487FE0" w:rsidRPr="0018053A" w:rsidRDefault="00487FE0" w:rsidP="00830F46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 w:rsidRPr="0018053A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Biocydy – przegląd najważniejszych tematów:</w:t>
            </w:r>
          </w:p>
          <w:p w14:paraId="1B5F430F" w14:textId="3E9DDA2B" w:rsidR="00DF0E40" w:rsidRPr="007B1561" w:rsidRDefault="001B3FAD" w:rsidP="2654811D">
            <w:pPr>
              <w:pStyle w:val="Akapitzlist"/>
              <w:numPr>
                <w:ilvl w:val="0"/>
                <w:numId w:val="32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</w:pPr>
            <w:r w:rsidRPr="2654811D"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  <w:t xml:space="preserve">Spotkanie w URPL – podsumowanie </w:t>
            </w:r>
          </w:p>
          <w:p w14:paraId="64B64883" w14:textId="782B57BE" w:rsidR="009269A0" w:rsidRPr="007B1561" w:rsidRDefault="2654811D" w:rsidP="2654811D">
            <w:pPr>
              <w:pStyle w:val="Akapitzlist"/>
              <w:numPr>
                <w:ilvl w:val="0"/>
                <w:numId w:val="32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</w:pPr>
            <w:r w:rsidRPr="2654811D"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  <w:t>Spotkania CA, CG  – najważniejsze informacje</w:t>
            </w:r>
          </w:p>
          <w:p w14:paraId="68E08EA3" w14:textId="77777777" w:rsidR="00D77A50" w:rsidRPr="007B1561" w:rsidRDefault="009269A0" w:rsidP="2654811D">
            <w:pPr>
              <w:pStyle w:val="Akapitzlist"/>
              <w:numPr>
                <w:ilvl w:val="0"/>
                <w:numId w:val="32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</w:pPr>
            <w:r w:rsidRPr="2654811D"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  <w:t>Program przeglądu substancji czynnych</w:t>
            </w:r>
          </w:p>
          <w:p w14:paraId="363CC142" w14:textId="738B7C25" w:rsidR="000A27FC" w:rsidRPr="0018053A" w:rsidRDefault="2654811D" w:rsidP="2654811D">
            <w:pPr>
              <w:pStyle w:val="Akapitzlist"/>
              <w:numPr>
                <w:ilvl w:val="0"/>
                <w:numId w:val="32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244061" w:themeColor="accent1" w:themeShade="80"/>
              </w:rPr>
            </w:pPr>
            <w:r w:rsidRPr="2654811D">
              <w:rPr>
                <w:rFonts w:asciiTheme="majorHAnsi" w:hAnsiTheme="majorHAnsi" w:cstheme="majorBidi"/>
                <w:color w:val="244061" w:themeColor="accent1" w:themeShade="80"/>
              </w:rPr>
              <w:t>Klasyfikacja nadtlenku wodoru</w:t>
            </w:r>
          </w:p>
          <w:p w14:paraId="52ABD4C8" w14:textId="64EC0B65" w:rsidR="000A27FC" w:rsidRPr="0018053A" w:rsidRDefault="2654811D" w:rsidP="00D6487D">
            <w:pPr>
              <w:pStyle w:val="Akapitzlist"/>
              <w:numPr>
                <w:ilvl w:val="0"/>
                <w:numId w:val="32"/>
              </w:numPr>
              <w:spacing w:before="120" w:after="120" w:line="264" w:lineRule="auto"/>
              <w:ind w:left="714" w:hanging="357"/>
              <w:jc w:val="both"/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</w:pPr>
            <w:r w:rsidRPr="2654811D">
              <w:rPr>
                <w:rFonts w:asciiTheme="majorHAnsi" w:hAnsiTheme="majorHAnsi" w:cstheme="majorBidi"/>
                <w:color w:val="244061" w:themeColor="accent1" w:themeShade="80"/>
                <w:lang w:val="pl-PL"/>
              </w:rPr>
              <w:t>Klasyfikacja etanolu - aktualności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250EE491" w14:textId="6A730BB4" w:rsidR="00DF0E40" w:rsidRPr="00952539" w:rsidRDefault="00DF0E40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95253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DF0E40" w:rsidRPr="00AE57D9" w14:paraId="2A3FCAB1" w14:textId="77777777" w:rsidTr="007013FE">
        <w:trPr>
          <w:trHeight w:val="955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3358D5E1" w14:textId="5ABDE22E" w:rsidR="00DF0E40" w:rsidRPr="00F6321E" w:rsidRDefault="00643646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2</w:t>
            </w:r>
            <w:r w:rsidR="00DF0E40"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57338BB6" w14:textId="04C3D7FF" w:rsidR="007B1561" w:rsidRDefault="007B1561" w:rsidP="0002603C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Rewizja rozporządzenia detergentowego</w:t>
            </w:r>
          </w:p>
          <w:p w14:paraId="2E3544F3" w14:textId="77777777" w:rsidR="00AF516C" w:rsidRPr="007B1561" w:rsidRDefault="007B1561" w:rsidP="007B1561">
            <w:pPr>
              <w:pStyle w:val="Akapitzlist"/>
              <w:numPr>
                <w:ilvl w:val="0"/>
                <w:numId w:val="40"/>
              </w:numPr>
              <w:spacing w:before="120" w:line="264" w:lineRule="auto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 w:rsidRPr="007B1561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Omówienie najważniejszych zmian</w:t>
            </w:r>
          </w:p>
          <w:p w14:paraId="7211E3D0" w14:textId="7CE72001" w:rsidR="007B1561" w:rsidRPr="007B1561" w:rsidRDefault="007B1561" w:rsidP="00D6487D">
            <w:pPr>
              <w:pStyle w:val="Akapitzlist"/>
              <w:numPr>
                <w:ilvl w:val="0"/>
                <w:numId w:val="40"/>
              </w:numPr>
              <w:spacing w:before="120" w:after="120" w:line="264" w:lineRule="auto"/>
              <w:ind w:left="714" w:hanging="357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 w:rsidRPr="007B1561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Dalsze działania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335DA2EA" w14:textId="7FB262E5" w:rsidR="00DF0E40" w:rsidRPr="00F6321E" w:rsidRDefault="00D77A50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</w:t>
            </w: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/dyskusja</w:t>
            </w:r>
          </w:p>
        </w:tc>
      </w:tr>
      <w:tr w:rsidR="00AF516C" w:rsidRPr="00AE57D9" w14:paraId="67C359E1" w14:textId="77777777" w:rsidTr="007013FE">
        <w:trPr>
          <w:trHeight w:val="787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A9FDF01" w14:textId="285D6FE9" w:rsidR="00AF516C" w:rsidRDefault="00AF516C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04051C0E" w14:textId="77777777" w:rsidR="007B1561" w:rsidRPr="00ED11E5" w:rsidRDefault="007B1561" w:rsidP="007B1561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Rewizja rozporządzenia CLP </w:t>
            </w:r>
          </w:p>
          <w:p w14:paraId="5311FC3B" w14:textId="77777777" w:rsidR="007B1561" w:rsidRDefault="007B1561" w:rsidP="007B1561">
            <w:pPr>
              <w:pStyle w:val="Akapitzlist"/>
              <w:numPr>
                <w:ilvl w:val="0"/>
                <w:numId w:val="29"/>
              </w:numPr>
              <w:spacing w:before="120" w:line="264" w:lineRule="auto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Omówienie najważniejszych zmian w projekcie rozporządzenia</w:t>
            </w:r>
          </w:p>
          <w:p w14:paraId="123B1437" w14:textId="740657A5" w:rsidR="00DF4895" w:rsidRPr="00AF516C" w:rsidRDefault="007B1561" w:rsidP="00D6487D">
            <w:pPr>
              <w:pStyle w:val="Akapitzlist"/>
              <w:numPr>
                <w:ilvl w:val="0"/>
                <w:numId w:val="39"/>
              </w:numPr>
              <w:spacing w:before="120" w:after="120" w:line="264" w:lineRule="auto"/>
              <w:ind w:left="714" w:hanging="357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Działania PSPKD i dalsze kroki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7F833634" w14:textId="6A8F0352" w:rsidR="00AF516C" w:rsidRPr="00F6321E" w:rsidRDefault="00AF516C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</w:t>
            </w: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/dyskusja</w:t>
            </w:r>
          </w:p>
        </w:tc>
      </w:tr>
      <w:tr w:rsidR="00622325" w:rsidRPr="00AE57D9" w14:paraId="0D933217" w14:textId="77777777" w:rsidTr="007013FE">
        <w:trPr>
          <w:trHeight w:val="50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033096ED" w14:textId="57E849BA" w:rsidR="00622325" w:rsidRDefault="00AF516C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4B45E0E2" w14:textId="218C7142" w:rsidR="0038751D" w:rsidRPr="007B1561" w:rsidRDefault="007B1561" w:rsidP="007B1561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Publikacja r</w:t>
            </w:r>
            <w:r w:rsidRPr="007B1561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ozporządzeni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a</w:t>
            </w:r>
            <w:r w:rsidRPr="007B1561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w sprawie ogólnego bezpieczeństwa produktów </w:t>
            </w:r>
          </w:p>
          <w:p w14:paraId="7A1AAE3A" w14:textId="5096A4B2" w:rsidR="00622325" w:rsidRPr="007B1561" w:rsidRDefault="007B1561" w:rsidP="00D6487D">
            <w:pPr>
              <w:pStyle w:val="Akapitzlist"/>
              <w:numPr>
                <w:ilvl w:val="0"/>
                <w:numId w:val="38"/>
              </w:numPr>
              <w:spacing w:before="120" w:after="120" w:line="264" w:lineRule="auto"/>
              <w:ind w:left="714" w:hanging="357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Omówienie najważniejszych zmian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C9AE6C0" w14:textId="1FEF5DDD" w:rsidR="00622325" w:rsidRPr="00F6321E" w:rsidRDefault="00622325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Informacja/dyskusja</w:t>
            </w:r>
          </w:p>
        </w:tc>
      </w:tr>
      <w:tr w:rsidR="007B1561" w:rsidRPr="00AE57D9" w14:paraId="2591DFDF" w14:textId="77777777" w:rsidTr="007013FE">
        <w:trPr>
          <w:trHeight w:val="50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ED46C39" w14:textId="69EC1720" w:rsidR="007B1561" w:rsidRDefault="007B1561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5.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648C09D" w14:textId="6CBC9C5D" w:rsidR="007B1561" w:rsidRPr="00D6487D" w:rsidRDefault="007B1561" w:rsidP="00D6487D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Ograniczenia dotyczące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mikroplastików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- omówienie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0123542" w14:textId="72228C98" w:rsidR="007B1561" w:rsidRDefault="007B1561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</w:t>
            </w:r>
          </w:p>
        </w:tc>
      </w:tr>
      <w:tr w:rsidR="00D77A50" w14:paraId="6226D7A3" w14:textId="77777777" w:rsidTr="007013FE">
        <w:trPr>
          <w:trHeight w:val="274"/>
        </w:trPr>
        <w:tc>
          <w:tcPr>
            <w:tcW w:w="9747" w:type="dxa"/>
            <w:gridSpan w:val="3"/>
            <w:tcBorders>
              <w:top w:val="nil"/>
              <w:left w:val="single" w:sz="4" w:space="0" w:color="D7A95A"/>
              <w:bottom w:val="nil"/>
              <w:right w:val="single" w:sz="4" w:space="0" w:color="D7A95A"/>
            </w:tcBorders>
            <w:shd w:val="clear" w:color="auto" w:fill="D7A95A"/>
            <w:vAlign w:val="center"/>
            <w:hideMark/>
          </w:tcPr>
          <w:p w14:paraId="22423CE5" w14:textId="145C0AAB" w:rsidR="00D77A50" w:rsidRPr="00ED11E5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</w:pP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D57446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2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7E01EA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4</w:t>
            </w:r>
            <w:r w:rsidR="00AF516C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5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– 1</w:t>
            </w:r>
            <w:r w:rsidR="00AF516C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7E01EA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="00AF516C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</w:p>
        </w:tc>
      </w:tr>
      <w:tr w:rsidR="00D77A50" w14:paraId="2CAD00B1" w14:textId="77777777" w:rsidTr="007013FE">
        <w:trPr>
          <w:trHeight w:val="293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072B6145" w14:textId="77777777" w:rsidR="00D77A50" w:rsidRPr="00500334" w:rsidRDefault="00D77A50" w:rsidP="00D77A50">
            <w:pPr>
              <w:spacing w:before="120" w:after="120" w:line="264" w:lineRule="auto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vAlign w:val="center"/>
            <w:hideMark/>
          </w:tcPr>
          <w:p w14:paraId="263F5628" w14:textId="77777777" w:rsidR="00D77A50" w:rsidRPr="00ED11E5" w:rsidRDefault="00D77A50" w:rsidP="00D77A50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 w:rsidRPr="00ED11E5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PRZERWA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6D8F7F3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</w:tr>
      <w:tr w:rsidR="00D77A50" w14:paraId="1B2AB123" w14:textId="77777777" w:rsidTr="00DE4EB5">
        <w:trPr>
          <w:trHeight w:val="70"/>
        </w:trPr>
        <w:tc>
          <w:tcPr>
            <w:tcW w:w="9747" w:type="dxa"/>
            <w:gridSpan w:val="3"/>
            <w:tcBorders>
              <w:top w:val="nil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shd w:val="clear" w:color="auto" w:fill="D7A95A"/>
            <w:vAlign w:val="center"/>
            <w:hideMark/>
          </w:tcPr>
          <w:p w14:paraId="040050DC" w14:textId="1148EB4B" w:rsidR="00D77A50" w:rsidRPr="00ED11E5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</w:pP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AF516C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7E01EA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="00AF516C"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 xml:space="preserve"> – 1</w:t>
            </w:r>
            <w:r w:rsidR="00042DC0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5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042DC0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Pr="00DE10B3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</w:p>
        </w:tc>
      </w:tr>
      <w:tr w:rsidR="00D77A50" w14:paraId="05C2F728" w14:textId="77777777" w:rsidTr="007013FE">
        <w:trPr>
          <w:trHeight w:val="558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nil"/>
              <w:right w:val="single" w:sz="4" w:space="0" w:color="D7A95A"/>
            </w:tcBorders>
          </w:tcPr>
          <w:p w14:paraId="693ADCF8" w14:textId="5154ACCC" w:rsidR="00B00020" w:rsidRDefault="2A319F97" w:rsidP="00D77A50">
            <w:pPr>
              <w:spacing w:before="120" w:line="240" w:lineRule="auto"/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t>6</w:t>
            </w:r>
            <w:r w:rsidR="00D77A50" w:rsidRPr="2A319F97"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  <w:t>.</w:t>
            </w:r>
            <w:r w:rsidR="00B00020">
              <w:br/>
            </w:r>
            <w:r w:rsidR="00B00020">
              <w:br/>
            </w:r>
          </w:p>
          <w:p w14:paraId="79D8CE9F" w14:textId="678DA449" w:rsidR="00A55A43" w:rsidRPr="00DD0278" w:rsidRDefault="00A55A43" w:rsidP="00B00020">
            <w:pPr>
              <w:spacing w:line="240" w:lineRule="auto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nil"/>
              <w:right w:val="single" w:sz="4" w:space="0" w:color="D7A95A"/>
            </w:tcBorders>
          </w:tcPr>
          <w:p w14:paraId="428D78F6" w14:textId="77777777" w:rsidR="00A55A43" w:rsidRPr="007B1561" w:rsidRDefault="00A55A43" w:rsidP="00D678AF">
            <w:pPr>
              <w:spacing w:before="120" w:line="264" w:lineRule="auto"/>
              <w:jc w:val="both"/>
              <w:rPr>
                <w:rFonts w:asciiTheme="majorHAnsi" w:hAnsiTheme="majorHAnsi" w:cstheme="majorBidi"/>
                <w:b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Projekt</w:t>
            </w:r>
            <w:r w:rsidR="008E5A44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 </w:t>
            </w: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Rozporządzenia </w:t>
            </w:r>
            <w:proofErr w:type="spellStart"/>
            <w:r w:rsidR="008E5A44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ws</w:t>
            </w:r>
            <w:proofErr w:type="spellEnd"/>
            <w:r w:rsidR="008E5A44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. opakowań i odpadów opakowaniowych (PPW</w:t>
            </w: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R</w:t>
            </w:r>
            <w:r w:rsidR="008E5A44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)</w:t>
            </w:r>
          </w:p>
          <w:p w14:paraId="169DAA6C" w14:textId="025BC05F" w:rsidR="00A55A43" w:rsidRPr="007B1561" w:rsidRDefault="2A319F97" w:rsidP="2A319F97">
            <w:pPr>
              <w:pStyle w:val="Akapitzlist"/>
              <w:numPr>
                <w:ilvl w:val="0"/>
                <w:numId w:val="37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aktualizacja statusu prac na poziomie UE</w:t>
            </w:r>
          </w:p>
          <w:p w14:paraId="0D7BB49B" w14:textId="4DB48E6E" w:rsidR="00A55A43" w:rsidRPr="007B1561" w:rsidRDefault="00A55A43" w:rsidP="009A2C4D">
            <w:pPr>
              <w:pStyle w:val="Akapitzlist"/>
              <w:numPr>
                <w:ilvl w:val="0"/>
                <w:numId w:val="37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 xml:space="preserve">stanowisko </w:t>
            </w:r>
            <w:r w:rsidR="2A319F97" w:rsidRPr="23ACC286">
              <w:rPr>
                <w:rFonts w:asciiTheme="majorHAnsi" w:hAnsiTheme="majorHAnsi" w:cstheme="majorBidi"/>
                <w:color w:val="002060"/>
                <w:lang w:val="pl-PL"/>
              </w:rPr>
              <w:t>i</w:t>
            </w: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 xml:space="preserve"> działania </w:t>
            </w:r>
            <w:r w:rsidR="2A319F97" w:rsidRPr="23ACC286">
              <w:rPr>
                <w:rFonts w:asciiTheme="majorHAnsi" w:hAnsiTheme="majorHAnsi" w:cstheme="majorBidi"/>
                <w:color w:val="002060"/>
                <w:lang w:val="pl-PL"/>
              </w:rPr>
              <w:t>PSPKD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nil"/>
              <w:right w:val="single" w:sz="4" w:space="0" w:color="D7A95A"/>
            </w:tcBorders>
          </w:tcPr>
          <w:p w14:paraId="5DCC681D" w14:textId="4AB1FBCD" w:rsidR="00A55A43" w:rsidRPr="00500334" w:rsidRDefault="00D77A50" w:rsidP="00A55A43">
            <w:pPr>
              <w:spacing w:before="120" w:line="264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</w:t>
            </w:r>
          </w:p>
        </w:tc>
      </w:tr>
      <w:tr w:rsidR="00A55A43" w14:paraId="293692D6" w14:textId="77777777" w:rsidTr="007013FE">
        <w:trPr>
          <w:trHeight w:val="558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93C2A6A" w14:textId="714ED8E9" w:rsidR="00A55A43" w:rsidRDefault="2A319F97" w:rsidP="00D77A50">
            <w:pPr>
              <w:spacing w:before="120" w:line="240" w:lineRule="auto"/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lastRenderedPageBreak/>
              <w:t>7</w:t>
            </w:r>
            <w:r w:rsidR="00A55A43" w:rsidRPr="2A319F97"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29BC4F87" w14:textId="77777777" w:rsidR="00A55A43" w:rsidRPr="007B1561" w:rsidRDefault="00A55A43" w:rsidP="00A55A43">
            <w:pPr>
              <w:spacing w:before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Rozporządzenie dot. </w:t>
            </w:r>
            <w:proofErr w:type="spellStart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ekoprojektowania</w:t>
            </w:r>
            <w:proofErr w:type="spellEnd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 zrównoważonych produktów – projekt KE | </w:t>
            </w:r>
            <w:proofErr w:type="spellStart"/>
            <w:r w:rsidRPr="23ACC286">
              <w:rPr>
                <w:rFonts w:asciiTheme="majorHAnsi" w:hAnsiTheme="majorHAnsi" w:cstheme="majorBidi"/>
                <w:b/>
                <w:i/>
                <w:color w:val="002060"/>
                <w:lang w:val="pl-PL"/>
              </w:rPr>
              <w:t>Ecodesign</w:t>
            </w:r>
            <w:proofErr w:type="spellEnd"/>
            <w:r w:rsidRPr="23ACC286">
              <w:rPr>
                <w:rFonts w:asciiTheme="majorHAnsi" w:hAnsiTheme="majorHAnsi" w:cstheme="majorBidi"/>
                <w:b/>
                <w:i/>
                <w:color w:val="002060"/>
                <w:lang w:val="pl-PL"/>
              </w:rPr>
              <w:t xml:space="preserve"> for </w:t>
            </w:r>
            <w:proofErr w:type="spellStart"/>
            <w:r w:rsidRPr="23ACC286">
              <w:rPr>
                <w:rFonts w:asciiTheme="majorHAnsi" w:hAnsiTheme="majorHAnsi" w:cstheme="majorBidi"/>
                <w:b/>
                <w:i/>
                <w:color w:val="002060"/>
                <w:lang w:val="pl-PL"/>
              </w:rPr>
              <w:t>Sustainable</w:t>
            </w:r>
            <w:proofErr w:type="spellEnd"/>
            <w:r w:rsidRPr="23ACC286">
              <w:rPr>
                <w:rFonts w:asciiTheme="majorHAnsi" w:hAnsiTheme="majorHAnsi" w:cstheme="majorBidi"/>
                <w:b/>
                <w:i/>
                <w:color w:val="002060"/>
                <w:lang w:val="pl-PL"/>
              </w:rPr>
              <w:t xml:space="preserve"> Products Regulation </w:t>
            </w: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(</w:t>
            </w:r>
            <w:r w:rsidRPr="23ACC286">
              <w:rPr>
                <w:rFonts w:asciiTheme="majorHAnsi" w:hAnsiTheme="majorHAnsi" w:cstheme="majorBidi"/>
                <w:b/>
                <w:i/>
                <w:color w:val="002060"/>
                <w:lang w:val="pl-PL"/>
              </w:rPr>
              <w:t>ESPR</w:t>
            </w: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) </w:t>
            </w: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– aktualizacja</w:t>
            </w:r>
          </w:p>
          <w:p w14:paraId="7219F96E" w14:textId="5537569A" w:rsidR="2A319F97" w:rsidRDefault="2A319F97" w:rsidP="2A319F97">
            <w:pPr>
              <w:pStyle w:val="Akapitzlist"/>
              <w:numPr>
                <w:ilvl w:val="0"/>
                <w:numId w:val="37"/>
              </w:numPr>
              <w:spacing w:before="120" w:after="24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prace w zakresie ustalenia produktów priorytetowych</w:t>
            </w:r>
          </w:p>
          <w:p w14:paraId="26D67D6C" w14:textId="034B7414" w:rsidR="00A55A43" w:rsidRPr="007B1561" w:rsidRDefault="00A55A43" w:rsidP="2A319F97">
            <w:pPr>
              <w:pStyle w:val="Akapitzlist"/>
              <w:numPr>
                <w:ilvl w:val="0"/>
                <w:numId w:val="37"/>
              </w:numPr>
              <w:spacing w:before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stanowisko PSPKD</w:t>
            </w:r>
          </w:p>
          <w:p w14:paraId="443401B8" w14:textId="139D0345" w:rsidR="00A55A43" w:rsidRPr="007B1561" w:rsidRDefault="2A319F97" w:rsidP="00DE4EB5">
            <w:pPr>
              <w:pStyle w:val="Akapitzlist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aktualizacja statusu prac na poziomie UE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A32C830" w14:textId="614CA6E6" w:rsidR="00A55A43" w:rsidRPr="00500334" w:rsidRDefault="00A55A43" w:rsidP="00D77A50">
            <w:pPr>
              <w:spacing w:before="120" w:line="264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</w:t>
            </w:r>
          </w:p>
        </w:tc>
      </w:tr>
      <w:tr w:rsidR="00A55A43" w14:paraId="52BA4EC5" w14:textId="77777777" w:rsidTr="007013FE">
        <w:trPr>
          <w:trHeight w:val="67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76380629" w14:textId="5835B16C" w:rsidR="00A55A43" w:rsidRDefault="2A319F97" w:rsidP="009A2C4D">
            <w:pPr>
              <w:spacing w:before="240" w:line="240" w:lineRule="auto"/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t>8</w:t>
            </w:r>
            <w:r w:rsidR="00A55A43" w:rsidRPr="2A319F97"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5E5156FE" w14:textId="348FB100" w:rsidR="00A55A43" w:rsidRPr="007B1561" w:rsidRDefault="00A55A43" w:rsidP="00041A21">
            <w:pPr>
              <w:spacing w:before="240" w:after="120" w:line="264" w:lineRule="auto"/>
              <w:jc w:val="both"/>
              <w:rPr>
                <w:rFonts w:asciiTheme="majorHAnsi" w:hAnsiTheme="majorHAnsi" w:cstheme="majorBidi"/>
                <w:b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Projekt dyrektywy </w:t>
            </w:r>
            <w:proofErr w:type="spellStart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ws</w:t>
            </w:r>
            <w:proofErr w:type="spellEnd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. oczyszczania ścieków komunalnych </w:t>
            </w:r>
            <w:r w:rsidR="2A319F97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(UWWTD) </w:t>
            </w:r>
            <w:r w:rsidR="2A319F97" w:rsidRPr="23ACC286">
              <w:rPr>
                <w:rFonts w:asciiTheme="majorHAnsi" w:hAnsiTheme="majorHAnsi" w:cstheme="majorBidi"/>
                <w:color w:val="002060"/>
                <w:lang w:val="pl-PL"/>
              </w:rPr>
              <w:t>– aktualny stan prac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71833CA4" w14:textId="257FFD27" w:rsidR="00A55A43" w:rsidRPr="00500334" w:rsidRDefault="00A55A43" w:rsidP="009A2C4D">
            <w:pPr>
              <w:spacing w:before="240" w:line="264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</w:t>
            </w:r>
          </w:p>
        </w:tc>
      </w:tr>
      <w:tr w:rsidR="00D77A50" w14:paraId="18CF6269" w14:textId="77777777" w:rsidTr="007013FE">
        <w:trPr>
          <w:trHeight w:val="43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013C7C6" w14:textId="64136BA3" w:rsidR="00A55A43" w:rsidRDefault="2A319F97" w:rsidP="2A319F97">
            <w:pPr>
              <w:spacing w:before="120" w:line="240" w:lineRule="auto"/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t>9.</w:t>
            </w:r>
          </w:p>
          <w:p w14:paraId="10BDE52B" w14:textId="3F2F528B" w:rsidR="00A55A43" w:rsidRDefault="00A55A43" w:rsidP="00496272">
            <w:pPr>
              <w:spacing w:before="120" w:line="240" w:lineRule="auto"/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600D6E26" w14:textId="44487C49" w:rsidR="00D77A50" w:rsidRPr="007B1561" w:rsidRDefault="00A55A43" w:rsidP="00DE4EB5">
            <w:pPr>
              <w:spacing w:before="120" w:after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Dyrektywa </w:t>
            </w:r>
            <w:proofErr w:type="spellStart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ws</w:t>
            </w:r>
            <w:proofErr w:type="spellEnd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. </w:t>
            </w:r>
            <w:r w:rsidR="2A319F97"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wzmocnienia pozycji konsumentów w procesie transformacji ekologicznej </w:t>
            </w:r>
            <w:r w:rsidR="2A319F97" w:rsidRPr="23ACC286">
              <w:rPr>
                <w:rFonts w:asciiTheme="majorHAnsi" w:hAnsiTheme="majorHAnsi" w:cstheme="majorBidi"/>
                <w:color w:val="002060"/>
                <w:lang w:val="pl-PL"/>
              </w:rPr>
              <w:t>– aktualizacja statusu prac na poziomie UE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5C490E4" w14:textId="22604551" w:rsidR="00A55A43" w:rsidRPr="00496272" w:rsidRDefault="2A319F97" w:rsidP="2A319F97">
            <w:pPr>
              <w:spacing w:before="120" w:line="264" w:lineRule="auto"/>
              <w:rPr>
                <w:rFonts w:asciiTheme="majorHAnsi" w:hAnsiTheme="majorHAnsi" w:cstheme="majorBidi"/>
                <w:b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</w:t>
            </w:r>
          </w:p>
          <w:p w14:paraId="7E47853D" w14:textId="00C41394" w:rsidR="00A55A43" w:rsidRPr="00496272" w:rsidRDefault="00A55A43" w:rsidP="00496272">
            <w:pPr>
              <w:spacing w:before="120" w:line="264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</w:p>
        </w:tc>
      </w:tr>
      <w:tr w:rsidR="00600D78" w14:paraId="1380EBE5" w14:textId="77777777" w:rsidTr="007013FE">
        <w:trPr>
          <w:trHeight w:val="43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301E46F3" w14:textId="157E70B2" w:rsidR="00600D78" w:rsidRPr="2A319F97" w:rsidRDefault="00600D78" w:rsidP="2A319F97">
            <w:pPr>
              <w:spacing w:before="120" w:line="240" w:lineRule="auto"/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t>10</w:t>
            </w:r>
            <w:r w:rsidRPr="2A319F97"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494A4C8" w14:textId="78A824E5" w:rsidR="00600D78" w:rsidRPr="23ACC286" w:rsidRDefault="00600D78" w:rsidP="00DE4EB5">
            <w:pPr>
              <w:spacing w:before="120" w:after="120" w:line="264" w:lineRule="auto"/>
              <w:jc w:val="both"/>
              <w:rPr>
                <w:rFonts w:asciiTheme="majorHAnsi" w:hAnsiTheme="majorHAnsi" w:cstheme="majorBidi"/>
                <w:b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Dyrektywa </w:t>
            </w:r>
            <w:proofErr w:type="spellStart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ws</w:t>
            </w:r>
            <w:proofErr w:type="spellEnd"/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. uzasadniania deklaracji środowiskowych </w:t>
            </w:r>
            <w:r w:rsidRPr="23ACC286">
              <w:rPr>
                <w:rFonts w:asciiTheme="majorHAnsi" w:hAnsiTheme="majorHAnsi" w:cstheme="majorBidi"/>
                <w:color w:val="002060"/>
                <w:lang w:val="pl-PL"/>
              </w:rPr>
              <w:t>– analiza opublikowanego projektu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25825198" w14:textId="7D2FC0AC" w:rsidR="00600D78" w:rsidRPr="23ACC286" w:rsidRDefault="00600D78" w:rsidP="2A319F97">
            <w:pPr>
              <w:spacing w:before="120" w:line="264" w:lineRule="auto"/>
              <w:rPr>
                <w:rFonts w:asciiTheme="majorHAnsi" w:hAnsiTheme="majorHAnsi" w:cstheme="majorBidi"/>
                <w:b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Informacja/dyskusja</w:t>
            </w:r>
          </w:p>
        </w:tc>
      </w:tr>
      <w:tr w:rsidR="009A2C4D" w14:paraId="1FA59AD4" w14:textId="77777777" w:rsidTr="007013FE">
        <w:trPr>
          <w:trHeight w:val="43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09943475" w14:textId="34388AD5" w:rsidR="009A2C4D" w:rsidRDefault="2A319F97" w:rsidP="00496272">
            <w:pPr>
              <w:spacing w:before="120" w:line="240" w:lineRule="auto"/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</w:pPr>
            <w:r w:rsidRPr="2A319F97">
              <w:rPr>
                <w:rFonts w:asciiTheme="majorHAnsi" w:hAnsiTheme="majorHAnsi" w:cstheme="majorBidi"/>
                <w:b/>
                <w:bCs/>
                <w:color w:val="244061" w:themeColor="accent1" w:themeShade="80"/>
                <w:lang w:val="pl-PL"/>
              </w:rPr>
              <w:t>11</w:t>
            </w:r>
            <w:r w:rsidR="009A2C4D" w:rsidRPr="2A319F97">
              <w:rPr>
                <w:rFonts w:asciiTheme="majorHAnsi" w:hAnsiTheme="majorHAnsi" w:cstheme="majorBid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5AD28F9" w14:textId="6767FF74" w:rsidR="0078006B" w:rsidRPr="007B1561" w:rsidRDefault="2A319F97" w:rsidP="00DE4EB5">
            <w:pPr>
              <w:spacing w:before="120" w:after="120" w:line="264" w:lineRule="auto"/>
              <w:jc w:val="both"/>
              <w:rPr>
                <w:rFonts w:asciiTheme="majorHAnsi" w:hAnsiTheme="majorHAnsi" w:cstheme="majorBidi"/>
                <w:color w:val="002060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 xml:space="preserve">Ustawa implementująca dyrektywę SUP 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2F09A256" w14:textId="72344AE4" w:rsidR="009A2C4D" w:rsidRPr="00500334" w:rsidRDefault="009A2C4D" w:rsidP="00496272">
            <w:pPr>
              <w:spacing w:before="120" w:line="264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3ACC286">
              <w:rPr>
                <w:rFonts w:asciiTheme="majorHAnsi" w:hAnsiTheme="majorHAnsi" w:cstheme="majorBidi"/>
                <w:b/>
                <w:color w:val="002060"/>
                <w:lang w:val="pl-PL"/>
              </w:rPr>
              <w:t>Informacja</w:t>
            </w:r>
          </w:p>
        </w:tc>
      </w:tr>
      <w:tr w:rsidR="00011C94" w14:paraId="3280CB25" w14:textId="77777777" w:rsidTr="00846FD0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06E79AC7" w14:textId="58D79355" w:rsidR="00011C94" w:rsidRPr="00500334" w:rsidRDefault="2654811D" w:rsidP="00011C94">
            <w:pPr>
              <w:spacing w:before="120" w:line="240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654811D">
              <w:rPr>
                <w:rFonts w:asciiTheme="majorHAnsi" w:hAnsiTheme="majorHAnsi" w:cstheme="majorBidi"/>
                <w:b/>
                <w:bCs/>
                <w:color w:val="17365D" w:themeColor="text2" w:themeShade="BF"/>
                <w:lang w:val="pl-PL"/>
              </w:rPr>
              <w:t>12</w:t>
            </w:r>
            <w:r w:rsidR="00011C94" w:rsidRPr="2A319F97"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7E2985DA" w14:textId="03C5EBF5" w:rsidR="00011C94" w:rsidRPr="00D813EE" w:rsidRDefault="00011C94" w:rsidP="00DE4EB5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 xml:space="preserve">Doświadczenia z inspekcji 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1A00F9ED" w14:textId="77777777" w:rsidR="00011C94" w:rsidRPr="00500334" w:rsidRDefault="00011C94" w:rsidP="00011C9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011C94" w14:paraId="55079642" w14:textId="77777777" w:rsidTr="00846FD0">
        <w:trPr>
          <w:trHeight w:val="316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1FE2050" w14:textId="2A29E8DB" w:rsidR="00011C94" w:rsidRPr="00500334" w:rsidRDefault="2654811D" w:rsidP="00011C94">
            <w:pPr>
              <w:spacing w:before="120" w:line="240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654811D">
              <w:rPr>
                <w:rFonts w:asciiTheme="majorHAnsi" w:hAnsiTheme="majorHAnsi" w:cstheme="majorBidi"/>
                <w:b/>
                <w:bCs/>
                <w:color w:val="17365D" w:themeColor="text2" w:themeShade="BF"/>
                <w:lang w:val="pl-PL"/>
              </w:rPr>
              <w:t>13</w:t>
            </w:r>
            <w:r w:rsidR="00011C94" w:rsidRPr="2A319F97"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5D2A56AE" w14:textId="5315240B" w:rsidR="00011C94" w:rsidRPr="00160322" w:rsidRDefault="00011C94" w:rsidP="00DE4EB5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Edukacja – plany szkoleń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3C4C4533" w14:textId="77777777" w:rsidR="00011C94" w:rsidRPr="00500334" w:rsidRDefault="00011C94" w:rsidP="00011C9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011C94" w14:paraId="62BC9263" w14:textId="77777777" w:rsidTr="00846FD0">
        <w:trPr>
          <w:trHeight w:val="347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1F1C4EED" w14:textId="49397FAB" w:rsidR="00011C94" w:rsidRPr="00500334" w:rsidRDefault="2654811D" w:rsidP="00011C94">
            <w:pPr>
              <w:spacing w:before="120" w:line="240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654811D">
              <w:rPr>
                <w:rFonts w:asciiTheme="majorHAnsi" w:hAnsiTheme="majorHAnsi" w:cstheme="majorBidi"/>
                <w:b/>
                <w:bCs/>
                <w:color w:val="17365D" w:themeColor="text2" w:themeShade="BF"/>
                <w:lang w:val="pl-PL"/>
              </w:rPr>
              <w:t>14</w:t>
            </w:r>
            <w:r w:rsidR="00011C94" w:rsidRPr="2A319F97"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1C0C919F" w14:textId="0C391202" w:rsidR="00011C94" w:rsidRPr="00160322" w:rsidRDefault="00011C94" w:rsidP="00DE4EB5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Sprawy wniesione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293B4B18" w14:textId="77777777" w:rsidR="00011C94" w:rsidRPr="00500334" w:rsidRDefault="00011C94" w:rsidP="00011C9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011C94" w14:paraId="43D6B3D0" w14:textId="77777777" w:rsidTr="00846FD0">
        <w:trPr>
          <w:trHeight w:val="411"/>
        </w:trPr>
        <w:tc>
          <w:tcPr>
            <w:tcW w:w="568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</w:tcPr>
          <w:p w14:paraId="7748C26B" w14:textId="0A6D500E" w:rsidR="00011C94" w:rsidRPr="00500334" w:rsidRDefault="2654811D" w:rsidP="00011C94">
            <w:pPr>
              <w:spacing w:before="120" w:after="120" w:line="240" w:lineRule="auto"/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</w:pPr>
            <w:r w:rsidRPr="2654811D">
              <w:rPr>
                <w:rFonts w:asciiTheme="majorHAnsi" w:hAnsiTheme="majorHAnsi" w:cstheme="majorBidi"/>
                <w:b/>
                <w:bCs/>
                <w:color w:val="17365D" w:themeColor="text2" w:themeShade="BF"/>
                <w:lang w:val="pl-PL"/>
              </w:rPr>
              <w:t>15</w:t>
            </w:r>
            <w:r w:rsidR="00011C94" w:rsidRPr="2A319F97">
              <w:rPr>
                <w:rFonts w:asciiTheme="majorHAnsi" w:hAnsiTheme="majorHAnsi" w:cstheme="majorBid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3D5776A3" w14:textId="77777777" w:rsidR="00011C94" w:rsidRPr="00500334" w:rsidRDefault="00011C94" w:rsidP="00DE4EB5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Termin następnego spotkania</w:t>
            </w:r>
          </w:p>
        </w:tc>
        <w:tc>
          <w:tcPr>
            <w:tcW w:w="2375" w:type="dxa"/>
            <w:tcBorders>
              <w:top w:val="single" w:sz="4" w:space="0" w:color="D7A95A"/>
              <w:left w:val="single" w:sz="4" w:space="0" w:color="D7A95A"/>
              <w:bottom w:val="single" w:sz="4" w:space="0" w:color="D7A95A"/>
              <w:right w:val="single" w:sz="4" w:space="0" w:color="D7A95A"/>
            </w:tcBorders>
            <w:hideMark/>
          </w:tcPr>
          <w:p w14:paraId="5F6F171E" w14:textId="77777777" w:rsidR="00011C94" w:rsidRPr="00500334" w:rsidRDefault="00011C94" w:rsidP="00011C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</w:t>
            </w:r>
          </w:p>
        </w:tc>
      </w:tr>
    </w:tbl>
    <w:p w14:paraId="1EBD0B34" w14:textId="77777777" w:rsidR="004171D5" w:rsidRDefault="004171D5" w:rsidP="004171D5">
      <w:pPr>
        <w:spacing w:line="264" w:lineRule="auto"/>
        <w:rPr>
          <w:rFonts w:asciiTheme="minorHAnsi" w:hAnsiTheme="minorHAnsi" w:cstheme="minorBidi"/>
          <w:sz w:val="2"/>
          <w:lang w:val="pl-PL" w:eastAsia="en-US"/>
        </w:rPr>
      </w:pPr>
    </w:p>
    <w:sectPr w:rsidR="004171D5" w:rsidSect="00DB2A9F">
      <w:headerReference w:type="default" r:id="rId8"/>
      <w:footerReference w:type="default" r:id="rId9"/>
      <w:pgSz w:w="11909" w:h="16834"/>
      <w:pgMar w:top="241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C120" w14:textId="77777777" w:rsidR="003069ED" w:rsidRDefault="003069ED">
      <w:pPr>
        <w:spacing w:line="240" w:lineRule="auto"/>
      </w:pPr>
      <w:r>
        <w:separator/>
      </w:r>
    </w:p>
  </w:endnote>
  <w:endnote w:type="continuationSeparator" w:id="0">
    <w:p w14:paraId="61EB56D0" w14:textId="77777777" w:rsidR="003069ED" w:rsidRDefault="003069ED">
      <w:pPr>
        <w:spacing w:line="240" w:lineRule="auto"/>
      </w:pPr>
      <w:r>
        <w:continuationSeparator/>
      </w:r>
    </w:p>
  </w:endnote>
  <w:endnote w:type="continuationNotice" w:id="1">
    <w:p w14:paraId="509D6FBD" w14:textId="77777777" w:rsidR="009E4218" w:rsidRDefault="009E42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784F" w14:textId="77777777" w:rsidR="0042581F" w:rsidRDefault="000B7A97">
    <w:pPr>
      <w:ind w:left="-1440" w:right="-1440"/>
    </w:pPr>
    <w:r>
      <w:rPr>
        <w:noProof/>
      </w:rPr>
      <w:drawing>
        <wp:inline distT="114300" distB="114300" distL="114300" distR="114300" wp14:anchorId="5B064040" wp14:editId="19DBCB51">
          <wp:extent cx="7539038" cy="1264855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A765" w14:textId="77777777" w:rsidR="003069ED" w:rsidRDefault="003069ED">
      <w:pPr>
        <w:spacing w:line="240" w:lineRule="auto"/>
      </w:pPr>
      <w:r>
        <w:separator/>
      </w:r>
    </w:p>
  </w:footnote>
  <w:footnote w:type="continuationSeparator" w:id="0">
    <w:p w14:paraId="6B6428BD" w14:textId="77777777" w:rsidR="003069ED" w:rsidRDefault="003069ED">
      <w:pPr>
        <w:spacing w:line="240" w:lineRule="auto"/>
      </w:pPr>
      <w:r>
        <w:continuationSeparator/>
      </w:r>
    </w:p>
  </w:footnote>
  <w:footnote w:type="continuationNotice" w:id="1">
    <w:p w14:paraId="324C72DD" w14:textId="77777777" w:rsidR="009E4218" w:rsidRDefault="009E42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63A" w14:textId="2867D3B3" w:rsidR="0042581F" w:rsidRDefault="006B31AC">
    <w:pPr>
      <w:ind w:left="-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1421C" wp14:editId="47BE6F2C">
          <wp:simplePos x="0" y="0"/>
          <wp:positionH relativeFrom="page">
            <wp:posOffset>38100</wp:posOffset>
          </wp:positionH>
          <wp:positionV relativeFrom="paragraph">
            <wp:posOffset>9525</wp:posOffset>
          </wp:positionV>
          <wp:extent cx="7551420" cy="1211580"/>
          <wp:effectExtent l="0" t="0" r="0" b="762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24"/>
    <w:multiLevelType w:val="hybridMultilevel"/>
    <w:tmpl w:val="A924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2D0"/>
    <w:multiLevelType w:val="hybridMultilevel"/>
    <w:tmpl w:val="D94CB1C8"/>
    <w:lvl w:ilvl="0" w:tplc="65D408B8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E74E6318">
      <w:start w:val="1"/>
      <w:numFmt w:val="lowerLetter"/>
      <w:lvlText w:val="%2."/>
      <w:lvlJc w:val="left"/>
      <w:pPr>
        <w:ind w:left="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2" w15:restartNumberingAfterBreak="0">
    <w:nsid w:val="09856652"/>
    <w:multiLevelType w:val="hybridMultilevel"/>
    <w:tmpl w:val="40FA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28F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E8F3D50"/>
    <w:multiLevelType w:val="hybridMultilevel"/>
    <w:tmpl w:val="B310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61F"/>
    <w:multiLevelType w:val="hybridMultilevel"/>
    <w:tmpl w:val="7AF4592A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0497"/>
    <w:multiLevelType w:val="hybridMultilevel"/>
    <w:tmpl w:val="8BB4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C4548"/>
    <w:multiLevelType w:val="hybridMultilevel"/>
    <w:tmpl w:val="43B6FB2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1A7D64AA"/>
    <w:multiLevelType w:val="hybridMultilevel"/>
    <w:tmpl w:val="1A22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90408"/>
    <w:multiLevelType w:val="hybridMultilevel"/>
    <w:tmpl w:val="CDC6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31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E9669EA"/>
    <w:multiLevelType w:val="hybridMultilevel"/>
    <w:tmpl w:val="1CB6F876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0137945"/>
    <w:multiLevelType w:val="hybridMultilevel"/>
    <w:tmpl w:val="4DD2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6D3A"/>
    <w:multiLevelType w:val="hybridMultilevel"/>
    <w:tmpl w:val="4F142FB4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57"/>
    <w:multiLevelType w:val="hybridMultilevel"/>
    <w:tmpl w:val="08829CCA"/>
    <w:lvl w:ilvl="0" w:tplc="F964F43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81240"/>
    <w:multiLevelType w:val="hybridMultilevel"/>
    <w:tmpl w:val="BAC6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069B"/>
    <w:multiLevelType w:val="hybridMultilevel"/>
    <w:tmpl w:val="3C22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A2F33"/>
    <w:multiLevelType w:val="hybridMultilevel"/>
    <w:tmpl w:val="D590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D7D2E"/>
    <w:multiLevelType w:val="hybridMultilevel"/>
    <w:tmpl w:val="5B8C5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D2E64"/>
    <w:multiLevelType w:val="hybridMultilevel"/>
    <w:tmpl w:val="A3EAF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2F30"/>
    <w:multiLevelType w:val="hybridMultilevel"/>
    <w:tmpl w:val="27AA283E"/>
    <w:lvl w:ilvl="0" w:tplc="E74E6318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4EE611FD"/>
    <w:multiLevelType w:val="hybridMultilevel"/>
    <w:tmpl w:val="A5F8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15EA1"/>
    <w:multiLevelType w:val="hybridMultilevel"/>
    <w:tmpl w:val="290AEA9E"/>
    <w:lvl w:ilvl="0" w:tplc="715C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8102D"/>
    <w:multiLevelType w:val="hybridMultilevel"/>
    <w:tmpl w:val="866409F2"/>
    <w:lvl w:ilvl="0" w:tplc="F964F43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D6B10"/>
    <w:multiLevelType w:val="hybridMultilevel"/>
    <w:tmpl w:val="3B601F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3D96B92"/>
    <w:multiLevelType w:val="hybridMultilevel"/>
    <w:tmpl w:val="2248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75FA"/>
    <w:multiLevelType w:val="hybridMultilevel"/>
    <w:tmpl w:val="7456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25DE"/>
    <w:multiLevelType w:val="hybridMultilevel"/>
    <w:tmpl w:val="F312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10A5A"/>
    <w:multiLevelType w:val="hybridMultilevel"/>
    <w:tmpl w:val="F0E636EA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476C27"/>
    <w:multiLevelType w:val="hybridMultilevel"/>
    <w:tmpl w:val="E8C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B3AA3"/>
    <w:multiLevelType w:val="hybridMultilevel"/>
    <w:tmpl w:val="75C6C9D0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F199A"/>
    <w:multiLevelType w:val="hybridMultilevel"/>
    <w:tmpl w:val="C6C276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1B22FC"/>
    <w:multiLevelType w:val="hybridMultilevel"/>
    <w:tmpl w:val="4C5E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7B2A"/>
    <w:multiLevelType w:val="hybridMultilevel"/>
    <w:tmpl w:val="8D9C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81542"/>
    <w:multiLevelType w:val="hybridMultilevel"/>
    <w:tmpl w:val="CBE83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3700"/>
    <w:multiLevelType w:val="hybridMultilevel"/>
    <w:tmpl w:val="7776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F009A"/>
    <w:multiLevelType w:val="hybridMultilevel"/>
    <w:tmpl w:val="94E80C24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0A62"/>
    <w:multiLevelType w:val="hybridMultilevel"/>
    <w:tmpl w:val="1CAE9664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16618">
    <w:abstractNumId w:val="1"/>
  </w:num>
  <w:num w:numId="2" w16cid:durableId="159006121">
    <w:abstractNumId w:val="34"/>
  </w:num>
  <w:num w:numId="3" w16cid:durableId="344479033">
    <w:abstractNumId w:val="11"/>
  </w:num>
  <w:num w:numId="4" w16cid:durableId="2031223055">
    <w:abstractNumId w:val="7"/>
  </w:num>
  <w:num w:numId="5" w16cid:durableId="419985036">
    <w:abstractNumId w:val="33"/>
  </w:num>
  <w:num w:numId="6" w16cid:durableId="1763531538">
    <w:abstractNumId w:val="20"/>
  </w:num>
  <w:num w:numId="7" w16cid:durableId="1841844753">
    <w:abstractNumId w:val="10"/>
  </w:num>
  <w:num w:numId="8" w16cid:durableId="2080010593">
    <w:abstractNumId w:val="3"/>
  </w:num>
  <w:num w:numId="9" w16cid:durableId="432477878">
    <w:abstractNumId w:val="22"/>
  </w:num>
  <w:num w:numId="10" w16cid:durableId="2081979980">
    <w:abstractNumId w:val="19"/>
  </w:num>
  <w:num w:numId="11" w16cid:durableId="1685472250">
    <w:abstractNumId w:val="12"/>
  </w:num>
  <w:num w:numId="12" w16cid:durableId="73550318">
    <w:abstractNumId w:val="21"/>
  </w:num>
  <w:num w:numId="13" w16cid:durableId="1819348013">
    <w:abstractNumId w:val="22"/>
  </w:num>
  <w:num w:numId="14" w16cid:durableId="690452415">
    <w:abstractNumId w:val="19"/>
  </w:num>
  <w:num w:numId="15" w16cid:durableId="1232151883">
    <w:abstractNumId w:val="24"/>
  </w:num>
  <w:num w:numId="16" w16cid:durableId="627901422">
    <w:abstractNumId w:val="16"/>
  </w:num>
  <w:num w:numId="17" w16cid:durableId="1997566146">
    <w:abstractNumId w:val="29"/>
  </w:num>
  <w:num w:numId="18" w16cid:durableId="1151291459">
    <w:abstractNumId w:val="2"/>
  </w:num>
  <w:num w:numId="19" w16cid:durableId="651714168">
    <w:abstractNumId w:val="4"/>
  </w:num>
  <w:num w:numId="20" w16cid:durableId="860048560">
    <w:abstractNumId w:val="6"/>
  </w:num>
  <w:num w:numId="21" w16cid:durableId="1941251896">
    <w:abstractNumId w:val="26"/>
  </w:num>
  <w:num w:numId="22" w16cid:durableId="1576160209">
    <w:abstractNumId w:val="5"/>
  </w:num>
  <w:num w:numId="23" w16cid:durableId="387606142">
    <w:abstractNumId w:val="37"/>
  </w:num>
  <w:num w:numId="24" w16cid:durableId="1945768083">
    <w:abstractNumId w:val="13"/>
  </w:num>
  <w:num w:numId="25" w16cid:durableId="125515983">
    <w:abstractNumId w:val="27"/>
  </w:num>
  <w:num w:numId="26" w16cid:durableId="53822587">
    <w:abstractNumId w:val="31"/>
  </w:num>
  <w:num w:numId="27" w16cid:durableId="532115163">
    <w:abstractNumId w:val="28"/>
  </w:num>
  <w:num w:numId="28" w16cid:durableId="1413970179">
    <w:abstractNumId w:val="30"/>
  </w:num>
  <w:num w:numId="29" w16cid:durableId="177156684">
    <w:abstractNumId w:val="14"/>
  </w:num>
  <w:num w:numId="30" w16cid:durableId="1229803407">
    <w:abstractNumId w:val="36"/>
  </w:num>
  <w:num w:numId="31" w16cid:durableId="1116867364">
    <w:abstractNumId w:val="23"/>
  </w:num>
  <w:num w:numId="32" w16cid:durableId="1493256889">
    <w:abstractNumId w:val="8"/>
  </w:num>
  <w:num w:numId="33" w16cid:durableId="1546406476">
    <w:abstractNumId w:val="9"/>
  </w:num>
  <w:num w:numId="34" w16cid:durableId="2053844382">
    <w:abstractNumId w:val="35"/>
  </w:num>
  <w:num w:numId="35" w16cid:durableId="1417557728">
    <w:abstractNumId w:val="18"/>
  </w:num>
  <w:num w:numId="36" w16cid:durableId="1594623937">
    <w:abstractNumId w:val="15"/>
  </w:num>
  <w:num w:numId="37" w16cid:durableId="822892018">
    <w:abstractNumId w:val="32"/>
  </w:num>
  <w:num w:numId="38" w16cid:durableId="1788625469">
    <w:abstractNumId w:val="25"/>
  </w:num>
  <w:num w:numId="39" w16cid:durableId="112793791">
    <w:abstractNumId w:val="0"/>
  </w:num>
  <w:num w:numId="40" w16cid:durableId="21070726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1F"/>
    <w:rsid w:val="00011C94"/>
    <w:rsid w:val="000159D4"/>
    <w:rsid w:val="0002034D"/>
    <w:rsid w:val="0002233E"/>
    <w:rsid w:val="0002603C"/>
    <w:rsid w:val="00031429"/>
    <w:rsid w:val="000321E1"/>
    <w:rsid w:val="00041A21"/>
    <w:rsid w:val="00041CAE"/>
    <w:rsid w:val="00041DEB"/>
    <w:rsid w:val="00042DC0"/>
    <w:rsid w:val="00053053"/>
    <w:rsid w:val="0005604C"/>
    <w:rsid w:val="00060A48"/>
    <w:rsid w:val="000668F4"/>
    <w:rsid w:val="00082853"/>
    <w:rsid w:val="00084727"/>
    <w:rsid w:val="00090AE4"/>
    <w:rsid w:val="0009108C"/>
    <w:rsid w:val="000926C6"/>
    <w:rsid w:val="000931DD"/>
    <w:rsid w:val="000A0115"/>
    <w:rsid w:val="000A1727"/>
    <w:rsid w:val="000A27FC"/>
    <w:rsid w:val="000B4138"/>
    <w:rsid w:val="000B7A97"/>
    <w:rsid w:val="000C0EB3"/>
    <w:rsid w:val="000C4A06"/>
    <w:rsid w:val="000C6077"/>
    <w:rsid w:val="000C7DAE"/>
    <w:rsid w:val="000F18B0"/>
    <w:rsid w:val="000F4ACA"/>
    <w:rsid w:val="00110212"/>
    <w:rsid w:val="00121574"/>
    <w:rsid w:val="00123EE0"/>
    <w:rsid w:val="001314C3"/>
    <w:rsid w:val="0013351B"/>
    <w:rsid w:val="00133927"/>
    <w:rsid w:val="00150065"/>
    <w:rsid w:val="0015055F"/>
    <w:rsid w:val="001545DE"/>
    <w:rsid w:val="00160322"/>
    <w:rsid w:val="00162993"/>
    <w:rsid w:val="0018053A"/>
    <w:rsid w:val="00187A8C"/>
    <w:rsid w:val="00196936"/>
    <w:rsid w:val="0019778A"/>
    <w:rsid w:val="001A4335"/>
    <w:rsid w:val="001A587F"/>
    <w:rsid w:val="001B1E10"/>
    <w:rsid w:val="001B3FAD"/>
    <w:rsid w:val="001C497E"/>
    <w:rsid w:val="001C5E8F"/>
    <w:rsid w:val="001D0361"/>
    <w:rsid w:val="001D28CA"/>
    <w:rsid w:val="001D292C"/>
    <w:rsid w:val="001E0CC1"/>
    <w:rsid w:val="001E33C5"/>
    <w:rsid w:val="001E60C1"/>
    <w:rsid w:val="002009A3"/>
    <w:rsid w:val="00201ABD"/>
    <w:rsid w:val="00204764"/>
    <w:rsid w:val="002130F8"/>
    <w:rsid w:val="00214528"/>
    <w:rsid w:val="00223B9C"/>
    <w:rsid w:val="00227E2D"/>
    <w:rsid w:val="00246E86"/>
    <w:rsid w:val="00251C3D"/>
    <w:rsid w:val="00263FB5"/>
    <w:rsid w:val="00275011"/>
    <w:rsid w:val="0028211A"/>
    <w:rsid w:val="00284163"/>
    <w:rsid w:val="00287816"/>
    <w:rsid w:val="002A3854"/>
    <w:rsid w:val="002A6E51"/>
    <w:rsid w:val="002B245A"/>
    <w:rsid w:val="002B74A1"/>
    <w:rsid w:val="002C3FFD"/>
    <w:rsid w:val="002D14B6"/>
    <w:rsid w:val="002E49CE"/>
    <w:rsid w:val="002F16BC"/>
    <w:rsid w:val="002F3588"/>
    <w:rsid w:val="002F6F4B"/>
    <w:rsid w:val="002F7C82"/>
    <w:rsid w:val="003038F7"/>
    <w:rsid w:val="003069ED"/>
    <w:rsid w:val="00317BA6"/>
    <w:rsid w:val="00325F1C"/>
    <w:rsid w:val="00330733"/>
    <w:rsid w:val="00333364"/>
    <w:rsid w:val="00363F42"/>
    <w:rsid w:val="0036523E"/>
    <w:rsid w:val="0037717D"/>
    <w:rsid w:val="003824C5"/>
    <w:rsid w:val="00385BA6"/>
    <w:rsid w:val="0038751D"/>
    <w:rsid w:val="003A029C"/>
    <w:rsid w:val="003A14D5"/>
    <w:rsid w:val="003A4F60"/>
    <w:rsid w:val="003A5741"/>
    <w:rsid w:val="003A5B5B"/>
    <w:rsid w:val="003A7CA0"/>
    <w:rsid w:val="003B4CCA"/>
    <w:rsid w:val="003C49E2"/>
    <w:rsid w:val="003C7283"/>
    <w:rsid w:val="003D0DEE"/>
    <w:rsid w:val="003E3C43"/>
    <w:rsid w:val="00402A62"/>
    <w:rsid w:val="00415214"/>
    <w:rsid w:val="004171D5"/>
    <w:rsid w:val="00425355"/>
    <w:rsid w:val="0042581F"/>
    <w:rsid w:val="00431BFF"/>
    <w:rsid w:val="0044359B"/>
    <w:rsid w:val="00460673"/>
    <w:rsid w:val="004617DB"/>
    <w:rsid w:val="00461FFB"/>
    <w:rsid w:val="00464E46"/>
    <w:rsid w:val="004676ED"/>
    <w:rsid w:val="004742E9"/>
    <w:rsid w:val="00480F5C"/>
    <w:rsid w:val="00481F64"/>
    <w:rsid w:val="00487FE0"/>
    <w:rsid w:val="00492BA9"/>
    <w:rsid w:val="00496272"/>
    <w:rsid w:val="004B187F"/>
    <w:rsid w:val="004B2C2C"/>
    <w:rsid w:val="004C180F"/>
    <w:rsid w:val="004D103F"/>
    <w:rsid w:val="004D4131"/>
    <w:rsid w:val="004E05BB"/>
    <w:rsid w:val="004E4C34"/>
    <w:rsid w:val="004F59D0"/>
    <w:rsid w:val="004F653C"/>
    <w:rsid w:val="00500334"/>
    <w:rsid w:val="0050328F"/>
    <w:rsid w:val="00506C2D"/>
    <w:rsid w:val="005343C6"/>
    <w:rsid w:val="005559CD"/>
    <w:rsid w:val="00556AE7"/>
    <w:rsid w:val="005656B3"/>
    <w:rsid w:val="005663A7"/>
    <w:rsid w:val="00575C2C"/>
    <w:rsid w:val="00584785"/>
    <w:rsid w:val="005913E7"/>
    <w:rsid w:val="00597086"/>
    <w:rsid w:val="00597945"/>
    <w:rsid w:val="005A1A87"/>
    <w:rsid w:val="005A36D6"/>
    <w:rsid w:val="005A63B4"/>
    <w:rsid w:val="005A6FBB"/>
    <w:rsid w:val="005C088F"/>
    <w:rsid w:val="005C09EF"/>
    <w:rsid w:val="005C1F88"/>
    <w:rsid w:val="005D1517"/>
    <w:rsid w:val="005D3AB8"/>
    <w:rsid w:val="005D5B5E"/>
    <w:rsid w:val="005D7110"/>
    <w:rsid w:val="005E6B8A"/>
    <w:rsid w:val="00600D78"/>
    <w:rsid w:val="00601B31"/>
    <w:rsid w:val="00614B80"/>
    <w:rsid w:val="00616742"/>
    <w:rsid w:val="00622325"/>
    <w:rsid w:val="00630E8C"/>
    <w:rsid w:val="0063246D"/>
    <w:rsid w:val="006341BA"/>
    <w:rsid w:val="00635A8B"/>
    <w:rsid w:val="00643646"/>
    <w:rsid w:val="0065584E"/>
    <w:rsid w:val="00657ABD"/>
    <w:rsid w:val="0068193A"/>
    <w:rsid w:val="00683861"/>
    <w:rsid w:val="006841C1"/>
    <w:rsid w:val="00693FDC"/>
    <w:rsid w:val="006941B4"/>
    <w:rsid w:val="006A2BDA"/>
    <w:rsid w:val="006A7C8D"/>
    <w:rsid w:val="006B31AC"/>
    <w:rsid w:val="006B3E7A"/>
    <w:rsid w:val="006B4680"/>
    <w:rsid w:val="006B6176"/>
    <w:rsid w:val="006D654D"/>
    <w:rsid w:val="006E53AE"/>
    <w:rsid w:val="007013FE"/>
    <w:rsid w:val="00706B88"/>
    <w:rsid w:val="0071104D"/>
    <w:rsid w:val="0071328A"/>
    <w:rsid w:val="00722295"/>
    <w:rsid w:val="007262F0"/>
    <w:rsid w:val="007266C5"/>
    <w:rsid w:val="00741053"/>
    <w:rsid w:val="00741209"/>
    <w:rsid w:val="007449FA"/>
    <w:rsid w:val="00766F3F"/>
    <w:rsid w:val="00770B2D"/>
    <w:rsid w:val="0077340E"/>
    <w:rsid w:val="00776FAC"/>
    <w:rsid w:val="0078006B"/>
    <w:rsid w:val="00785C2E"/>
    <w:rsid w:val="0079136F"/>
    <w:rsid w:val="007A1331"/>
    <w:rsid w:val="007B1561"/>
    <w:rsid w:val="007C3539"/>
    <w:rsid w:val="007C3572"/>
    <w:rsid w:val="007D0660"/>
    <w:rsid w:val="007D7343"/>
    <w:rsid w:val="007E01EA"/>
    <w:rsid w:val="007E0D0A"/>
    <w:rsid w:val="007E68E9"/>
    <w:rsid w:val="007F0AAE"/>
    <w:rsid w:val="00802C8C"/>
    <w:rsid w:val="00807F82"/>
    <w:rsid w:val="008114B0"/>
    <w:rsid w:val="008119E0"/>
    <w:rsid w:val="00812514"/>
    <w:rsid w:val="008127D1"/>
    <w:rsid w:val="00822B0F"/>
    <w:rsid w:val="00824A57"/>
    <w:rsid w:val="00830F46"/>
    <w:rsid w:val="008324D8"/>
    <w:rsid w:val="0083656A"/>
    <w:rsid w:val="00843654"/>
    <w:rsid w:val="00846FD0"/>
    <w:rsid w:val="00847DB4"/>
    <w:rsid w:val="00866BE8"/>
    <w:rsid w:val="00870140"/>
    <w:rsid w:val="00872370"/>
    <w:rsid w:val="008908AD"/>
    <w:rsid w:val="008B18DC"/>
    <w:rsid w:val="008D136A"/>
    <w:rsid w:val="008D4A3C"/>
    <w:rsid w:val="008D7C2F"/>
    <w:rsid w:val="008E5A44"/>
    <w:rsid w:val="008E68E8"/>
    <w:rsid w:val="008F69EF"/>
    <w:rsid w:val="00913EAC"/>
    <w:rsid w:val="009253F6"/>
    <w:rsid w:val="00925A64"/>
    <w:rsid w:val="0092666C"/>
    <w:rsid w:val="009269A0"/>
    <w:rsid w:val="0092769B"/>
    <w:rsid w:val="00933509"/>
    <w:rsid w:val="00934C44"/>
    <w:rsid w:val="00941038"/>
    <w:rsid w:val="0094462D"/>
    <w:rsid w:val="00944DFC"/>
    <w:rsid w:val="009455D4"/>
    <w:rsid w:val="00952539"/>
    <w:rsid w:val="00954707"/>
    <w:rsid w:val="009604F2"/>
    <w:rsid w:val="00960F5B"/>
    <w:rsid w:val="00995949"/>
    <w:rsid w:val="009A2422"/>
    <w:rsid w:val="009A2C4D"/>
    <w:rsid w:val="009B37E0"/>
    <w:rsid w:val="009C08A2"/>
    <w:rsid w:val="009C0AD5"/>
    <w:rsid w:val="009C13CA"/>
    <w:rsid w:val="009E292D"/>
    <w:rsid w:val="009E3475"/>
    <w:rsid w:val="009E4218"/>
    <w:rsid w:val="00A0104D"/>
    <w:rsid w:val="00A12980"/>
    <w:rsid w:val="00A22F7A"/>
    <w:rsid w:val="00A40F5E"/>
    <w:rsid w:val="00A43D56"/>
    <w:rsid w:val="00A53606"/>
    <w:rsid w:val="00A55A43"/>
    <w:rsid w:val="00A60585"/>
    <w:rsid w:val="00A84F97"/>
    <w:rsid w:val="00AB0B55"/>
    <w:rsid w:val="00AB1529"/>
    <w:rsid w:val="00AB5A86"/>
    <w:rsid w:val="00AB5CBA"/>
    <w:rsid w:val="00AC1099"/>
    <w:rsid w:val="00AD0DBC"/>
    <w:rsid w:val="00AE1E5C"/>
    <w:rsid w:val="00AE2006"/>
    <w:rsid w:val="00AE57D9"/>
    <w:rsid w:val="00AE6B00"/>
    <w:rsid w:val="00AF03BF"/>
    <w:rsid w:val="00AF1E89"/>
    <w:rsid w:val="00AF2CF3"/>
    <w:rsid w:val="00AF516C"/>
    <w:rsid w:val="00AF79F6"/>
    <w:rsid w:val="00B00020"/>
    <w:rsid w:val="00B0131E"/>
    <w:rsid w:val="00B01EB0"/>
    <w:rsid w:val="00B172E1"/>
    <w:rsid w:val="00B2100F"/>
    <w:rsid w:val="00B2439A"/>
    <w:rsid w:val="00B24F07"/>
    <w:rsid w:val="00B31917"/>
    <w:rsid w:val="00B4510A"/>
    <w:rsid w:val="00B514C3"/>
    <w:rsid w:val="00B52CD3"/>
    <w:rsid w:val="00B64B3F"/>
    <w:rsid w:val="00B70C61"/>
    <w:rsid w:val="00B71A82"/>
    <w:rsid w:val="00B74394"/>
    <w:rsid w:val="00B81AEA"/>
    <w:rsid w:val="00B82F7B"/>
    <w:rsid w:val="00B83655"/>
    <w:rsid w:val="00B91A4E"/>
    <w:rsid w:val="00BB1FBE"/>
    <w:rsid w:val="00BB473B"/>
    <w:rsid w:val="00BC57B4"/>
    <w:rsid w:val="00BD08F4"/>
    <w:rsid w:val="00BE0A40"/>
    <w:rsid w:val="00BE368E"/>
    <w:rsid w:val="00BE3C0D"/>
    <w:rsid w:val="00BE6AA6"/>
    <w:rsid w:val="00C04B2A"/>
    <w:rsid w:val="00C0779C"/>
    <w:rsid w:val="00C15891"/>
    <w:rsid w:val="00C20053"/>
    <w:rsid w:val="00C23205"/>
    <w:rsid w:val="00C25451"/>
    <w:rsid w:val="00C34A78"/>
    <w:rsid w:val="00C41878"/>
    <w:rsid w:val="00C421E6"/>
    <w:rsid w:val="00C51337"/>
    <w:rsid w:val="00C51C81"/>
    <w:rsid w:val="00C53298"/>
    <w:rsid w:val="00C57132"/>
    <w:rsid w:val="00C60A92"/>
    <w:rsid w:val="00C634C7"/>
    <w:rsid w:val="00C664D7"/>
    <w:rsid w:val="00C74A7F"/>
    <w:rsid w:val="00C74CB9"/>
    <w:rsid w:val="00C80BB8"/>
    <w:rsid w:val="00C80BDA"/>
    <w:rsid w:val="00C81B77"/>
    <w:rsid w:val="00C97546"/>
    <w:rsid w:val="00CC3E1C"/>
    <w:rsid w:val="00CD2FE9"/>
    <w:rsid w:val="00CD41CC"/>
    <w:rsid w:val="00CE2A24"/>
    <w:rsid w:val="00CF06B6"/>
    <w:rsid w:val="00CF208C"/>
    <w:rsid w:val="00CF3758"/>
    <w:rsid w:val="00D121EF"/>
    <w:rsid w:val="00D16E18"/>
    <w:rsid w:val="00D33825"/>
    <w:rsid w:val="00D507E3"/>
    <w:rsid w:val="00D56249"/>
    <w:rsid w:val="00D56611"/>
    <w:rsid w:val="00D57446"/>
    <w:rsid w:val="00D6487D"/>
    <w:rsid w:val="00D671C2"/>
    <w:rsid w:val="00D678AF"/>
    <w:rsid w:val="00D67B24"/>
    <w:rsid w:val="00D7614C"/>
    <w:rsid w:val="00D77121"/>
    <w:rsid w:val="00D77A50"/>
    <w:rsid w:val="00D813EE"/>
    <w:rsid w:val="00D8418B"/>
    <w:rsid w:val="00D84B49"/>
    <w:rsid w:val="00D932B2"/>
    <w:rsid w:val="00D94298"/>
    <w:rsid w:val="00DA0AB7"/>
    <w:rsid w:val="00DA1592"/>
    <w:rsid w:val="00DA4F8A"/>
    <w:rsid w:val="00DB2A9F"/>
    <w:rsid w:val="00DD0278"/>
    <w:rsid w:val="00DD09C3"/>
    <w:rsid w:val="00DE10B3"/>
    <w:rsid w:val="00DE4EB5"/>
    <w:rsid w:val="00DF0E40"/>
    <w:rsid w:val="00DF4895"/>
    <w:rsid w:val="00E1276C"/>
    <w:rsid w:val="00E15610"/>
    <w:rsid w:val="00E1591B"/>
    <w:rsid w:val="00E21B92"/>
    <w:rsid w:val="00E26323"/>
    <w:rsid w:val="00E30BF6"/>
    <w:rsid w:val="00E34E67"/>
    <w:rsid w:val="00E40653"/>
    <w:rsid w:val="00E413DE"/>
    <w:rsid w:val="00E65FFC"/>
    <w:rsid w:val="00E7456C"/>
    <w:rsid w:val="00E80D9C"/>
    <w:rsid w:val="00E86B20"/>
    <w:rsid w:val="00EB220E"/>
    <w:rsid w:val="00EB66AA"/>
    <w:rsid w:val="00EC5664"/>
    <w:rsid w:val="00ED11E5"/>
    <w:rsid w:val="00ED581C"/>
    <w:rsid w:val="00ED740C"/>
    <w:rsid w:val="00EF267A"/>
    <w:rsid w:val="00F01C75"/>
    <w:rsid w:val="00F0606A"/>
    <w:rsid w:val="00F14838"/>
    <w:rsid w:val="00F34701"/>
    <w:rsid w:val="00F37D15"/>
    <w:rsid w:val="00F4761B"/>
    <w:rsid w:val="00F56B03"/>
    <w:rsid w:val="00F6321E"/>
    <w:rsid w:val="00F7542C"/>
    <w:rsid w:val="00FA5345"/>
    <w:rsid w:val="00FA53BF"/>
    <w:rsid w:val="00FA6091"/>
    <w:rsid w:val="00FB0E81"/>
    <w:rsid w:val="00FB4C49"/>
    <w:rsid w:val="00FD1174"/>
    <w:rsid w:val="00FD52BB"/>
    <w:rsid w:val="00FD7156"/>
    <w:rsid w:val="00FD79AE"/>
    <w:rsid w:val="00FE166C"/>
    <w:rsid w:val="146F9B23"/>
    <w:rsid w:val="1ADB1E01"/>
    <w:rsid w:val="23ACC286"/>
    <w:rsid w:val="2654811D"/>
    <w:rsid w:val="293BB195"/>
    <w:rsid w:val="2A319F97"/>
    <w:rsid w:val="303641BD"/>
    <w:rsid w:val="3F7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E58AB"/>
  <w15:docId w15:val="{C47B6904-1B6C-49E0-A8AD-9F19A8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8B0"/>
  </w:style>
  <w:style w:type="paragraph" w:styleId="Stopka">
    <w:name w:val="footer"/>
    <w:basedOn w:val="Normalny"/>
    <w:link w:val="Stopka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8B0"/>
  </w:style>
  <w:style w:type="paragraph" w:styleId="Akapitzlist">
    <w:name w:val="List Paragraph"/>
    <w:basedOn w:val="Normalny"/>
    <w:uiPriority w:val="34"/>
    <w:qFormat/>
    <w:rsid w:val="00AF1E89"/>
    <w:pPr>
      <w:ind w:left="720"/>
      <w:contextualSpacing/>
    </w:pPr>
  </w:style>
  <w:style w:type="paragraph" w:styleId="Bezodstpw">
    <w:name w:val="No Spacing"/>
    <w:uiPriority w:val="1"/>
    <w:qFormat/>
    <w:rsid w:val="00E34E67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00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006"/>
    <w:rPr>
      <w:vertAlign w:val="superscript"/>
    </w:rPr>
  </w:style>
  <w:style w:type="paragraph" w:customStyle="1" w:styleId="Default">
    <w:name w:val="Default"/>
    <w:rsid w:val="00AE20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4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4C5"/>
    <w:rPr>
      <w:vertAlign w:val="superscript"/>
    </w:rPr>
  </w:style>
  <w:style w:type="character" w:customStyle="1" w:styleId="jlqj4b">
    <w:name w:val="jlqj4b"/>
    <w:basedOn w:val="Domylnaczcionkaakapitu"/>
    <w:rsid w:val="00160322"/>
  </w:style>
  <w:style w:type="character" w:customStyle="1" w:styleId="viiyi">
    <w:name w:val="viiyi"/>
    <w:basedOn w:val="Domylnaczcionkaakapitu"/>
    <w:rsid w:val="00263FB5"/>
  </w:style>
  <w:style w:type="paragraph" w:styleId="Poprawka">
    <w:name w:val="Revision"/>
    <w:hidden/>
    <w:uiPriority w:val="99"/>
    <w:semiHidden/>
    <w:rsid w:val="00635A8B"/>
    <w:pPr>
      <w:spacing w:line="240" w:lineRule="auto"/>
    </w:pPr>
  </w:style>
  <w:style w:type="table" w:customStyle="1" w:styleId="TableNormal1">
    <w:name w:val="Table Normal1"/>
    <w:rsid w:val="009E42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6303-AFC9-4603-A97A-AACE7DF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Żandarska</dc:creator>
  <cp:lastModifiedBy>Katarzyna Żandarska</cp:lastModifiedBy>
  <cp:revision>2</cp:revision>
  <dcterms:created xsi:type="dcterms:W3CDTF">2023-06-02T09:09:00Z</dcterms:created>
  <dcterms:modified xsi:type="dcterms:W3CDTF">2023-06-02T09:09:00Z</dcterms:modified>
</cp:coreProperties>
</file>